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316F" w14:textId="30A4E0EA" w:rsidR="00A130E4" w:rsidRPr="00381329" w:rsidRDefault="00A130E4" w:rsidP="00A130E4">
      <w:pPr>
        <w:pStyle w:val="ZA"/>
        <w:framePr w:w="10563" w:h="782" w:hRule="exact" w:wrap="notBeside" w:hAnchor="page" w:x="661" w:y="646" w:anchorLock="1"/>
        <w:pBdr>
          <w:bottom w:val="none" w:sz="0" w:space="0" w:color="auto"/>
        </w:pBdr>
        <w:jc w:val="center"/>
        <w:rPr>
          <w:noProof w:val="0"/>
        </w:rPr>
      </w:pPr>
      <w:commentRangeStart w:id="0"/>
      <w:commentRangeStart w:id="1"/>
      <w:r w:rsidRPr="00381329">
        <w:rPr>
          <w:noProof w:val="0"/>
          <w:sz w:val="64"/>
        </w:rPr>
        <w:t>Draft</w:t>
      </w:r>
      <w:commentRangeEnd w:id="0"/>
      <w:r w:rsidR="00403A45">
        <w:rPr>
          <w:rStyle w:val="CommentReference"/>
          <w:rFonts w:ascii="Times New Roman" w:hAnsi="Times New Roman"/>
          <w:noProof w:val="0"/>
        </w:rPr>
        <w:commentReference w:id="0"/>
      </w:r>
      <w:commentRangeEnd w:id="1"/>
      <w:r w:rsidR="005D277A">
        <w:rPr>
          <w:rStyle w:val="CommentReference"/>
          <w:rFonts w:ascii="Times New Roman" w:hAnsi="Times New Roman"/>
          <w:noProof w:val="0"/>
        </w:rPr>
        <w:commentReference w:id="1"/>
      </w:r>
      <w:r w:rsidRPr="00381329">
        <w:rPr>
          <w:noProof w:val="0"/>
          <w:sz w:val="64"/>
        </w:rPr>
        <w:t xml:space="preserve"> ETSI GS PDL 026 </w:t>
      </w:r>
      <w:r w:rsidRPr="00381329">
        <w:rPr>
          <w:noProof w:val="0"/>
        </w:rPr>
        <w:t>V</w:t>
      </w:r>
      <w:r w:rsidR="00DC3C8F">
        <w:rPr>
          <w:noProof w:val="0"/>
        </w:rPr>
        <w:t>1</w:t>
      </w:r>
      <w:r w:rsidRPr="00381329">
        <w:rPr>
          <w:noProof w:val="0"/>
        </w:rPr>
        <w:t>.0.</w:t>
      </w:r>
      <w:r w:rsidR="00DC3C8F">
        <w:rPr>
          <w:noProof w:val="0"/>
        </w:rPr>
        <w:t>0</w:t>
      </w:r>
      <w:r w:rsidRPr="00381329">
        <w:rPr>
          <w:rStyle w:val="ZGSM"/>
          <w:noProof w:val="0"/>
        </w:rPr>
        <w:t xml:space="preserve"> </w:t>
      </w:r>
      <w:r w:rsidRPr="00381329">
        <w:rPr>
          <w:noProof w:val="0"/>
          <w:sz w:val="32"/>
        </w:rPr>
        <w:t>(2024-03</w:t>
      </w:r>
      <w:r w:rsidRPr="00381329">
        <w:rPr>
          <w:noProof w:val="0"/>
          <w:sz w:val="32"/>
          <w:szCs w:val="32"/>
        </w:rPr>
        <w:t>)</w:t>
      </w:r>
    </w:p>
    <w:p w14:paraId="3FBC4318" w14:textId="77777777" w:rsidR="00A130E4" w:rsidRPr="00381329" w:rsidRDefault="00A130E4" w:rsidP="00A130E4">
      <w:pPr>
        <w:pStyle w:val="ZT"/>
        <w:framePr w:w="10206" w:h="3701" w:hRule="exact" w:wrap="notBeside" w:hAnchor="page" w:x="880" w:y="7094"/>
        <w:spacing w:line="240" w:lineRule="auto"/>
      </w:pPr>
      <w:commentRangeStart w:id="2"/>
      <w:commentRangeStart w:id="3"/>
      <w:r w:rsidRPr="00381329">
        <w:t xml:space="preserve">PDL in Settlement of Usage Based </w:t>
      </w:r>
      <w:proofErr w:type="gramStart"/>
      <w:r w:rsidRPr="00381329">
        <w:t>Services;</w:t>
      </w:r>
      <w:proofErr w:type="gramEnd"/>
    </w:p>
    <w:p w14:paraId="3466CC68" w14:textId="77777777" w:rsidR="00A130E4" w:rsidRPr="00381329" w:rsidRDefault="00A130E4" w:rsidP="00A130E4">
      <w:pPr>
        <w:pStyle w:val="ZT"/>
        <w:framePr w:w="10206" w:h="3701" w:hRule="exact" w:wrap="notBeside" w:hAnchor="page" w:x="880" w:y="7094"/>
        <w:spacing w:line="240" w:lineRule="auto"/>
      </w:pPr>
      <w:r w:rsidRPr="00381329">
        <w:t xml:space="preserve">Permissioned Distributed </w:t>
      </w:r>
      <w:proofErr w:type="gramStart"/>
      <w:r w:rsidRPr="00381329">
        <w:t>Ledger;</w:t>
      </w:r>
      <w:proofErr w:type="gramEnd"/>
    </w:p>
    <w:p w14:paraId="66BC7FB4" w14:textId="77777777" w:rsidR="00A130E4" w:rsidRPr="00381329" w:rsidRDefault="00A130E4" w:rsidP="00A130E4">
      <w:pPr>
        <w:pStyle w:val="ZT"/>
        <w:framePr w:w="10206" w:h="3701" w:hRule="exact" w:wrap="notBeside" w:hAnchor="page" w:x="880" w:y="7094"/>
        <w:spacing w:line="240" w:lineRule="auto"/>
      </w:pPr>
      <w:r w:rsidRPr="00381329">
        <w:t>Group Specification PDL 026</w:t>
      </w:r>
    </w:p>
    <w:p w14:paraId="687C18FF" w14:textId="77777777" w:rsidR="00A130E4" w:rsidRPr="00381329" w:rsidRDefault="00A130E4" w:rsidP="00A130E4">
      <w:pPr>
        <w:pStyle w:val="ZT"/>
        <w:framePr w:w="10206" w:h="3701" w:hRule="exact" w:wrap="notBeside" w:hAnchor="page" w:x="880" w:y="7094"/>
      </w:pPr>
      <w:r w:rsidRPr="00381329">
        <w:rPr>
          <w:rStyle w:val="ZGSM"/>
        </w:rPr>
        <w:t>Release 1</w:t>
      </w:r>
      <w:commentRangeEnd w:id="2"/>
      <w:r w:rsidR="00374555">
        <w:rPr>
          <w:rStyle w:val="CommentReference"/>
          <w:rFonts w:ascii="Times New Roman" w:hAnsi="Times New Roman"/>
          <w:b w:val="0"/>
        </w:rPr>
        <w:commentReference w:id="2"/>
      </w:r>
      <w:commentRangeEnd w:id="3"/>
      <w:r w:rsidR="005D277A">
        <w:rPr>
          <w:rStyle w:val="CommentReference"/>
          <w:rFonts w:ascii="Times New Roman" w:hAnsi="Times New Roman"/>
          <w:b w:val="0"/>
        </w:rPr>
        <w:commentReference w:id="3"/>
      </w:r>
    </w:p>
    <w:p w14:paraId="7BD7CB18" w14:textId="77777777" w:rsidR="00A130E4" w:rsidRPr="00381329" w:rsidRDefault="00A130E4" w:rsidP="00A130E4">
      <w:pPr>
        <w:pStyle w:val="ZG"/>
        <w:framePr w:w="10624" w:h="3271" w:hRule="exact" w:wrap="notBeside" w:hAnchor="page" w:x="674" w:y="12211"/>
        <w:rPr>
          <w:noProof w:val="0"/>
        </w:rPr>
      </w:pPr>
    </w:p>
    <w:p w14:paraId="20975D78" w14:textId="77777777" w:rsidR="00A130E4" w:rsidRPr="00381329" w:rsidRDefault="00A130E4" w:rsidP="00A130E4">
      <w:pPr>
        <w:pStyle w:val="ZD"/>
        <w:framePr w:wrap="notBeside"/>
        <w:rPr>
          <w:noProof w:val="0"/>
        </w:rPr>
      </w:pPr>
    </w:p>
    <w:p w14:paraId="69E980E9" w14:textId="77777777" w:rsidR="00A130E4" w:rsidRPr="00381329" w:rsidRDefault="00A130E4" w:rsidP="00A130E4">
      <w:pPr>
        <w:pStyle w:val="ZB"/>
        <w:framePr w:wrap="notBeside" w:hAnchor="page" w:x="901" w:y="1421"/>
        <w:rPr>
          <w:noProof w:val="0"/>
        </w:rPr>
      </w:pPr>
    </w:p>
    <w:p w14:paraId="3E034CF3" w14:textId="77777777" w:rsidR="00A130E4" w:rsidRPr="00381329" w:rsidRDefault="00A130E4" w:rsidP="00A130E4"/>
    <w:p w14:paraId="1FABEC1B" w14:textId="77777777" w:rsidR="00A130E4" w:rsidRPr="00381329" w:rsidRDefault="00A130E4" w:rsidP="00A130E4"/>
    <w:p w14:paraId="218D9BE1" w14:textId="77777777" w:rsidR="00A130E4" w:rsidRPr="00381329" w:rsidRDefault="00A130E4" w:rsidP="00A130E4"/>
    <w:p w14:paraId="50A1D8EF" w14:textId="77777777" w:rsidR="00A130E4" w:rsidRPr="00381329" w:rsidRDefault="00A130E4" w:rsidP="00A130E4"/>
    <w:p w14:paraId="6C0C2CA0" w14:textId="77777777" w:rsidR="00A130E4" w:rsidRPr="00381329" w:rsidRDefault="00A130E4" w:rsidP="00A130E4"/>
    <w:p w14:paraId="2A18F43B" w14:textId="77777777" w:rsidR="00A130E4" w:rsidRPr="00381329" w:rsidRDefault="00A130E4" w:rsidP="00A130E4">
      <w:pPr>
        <w:pStyle w:val="ZB"/>
        <w:framePr w:wrap="notBeside" w:hAnchor="page" w:x="901" w:y="1421"/>
        <w:rPr>
          <w:noProof w:val="0"/>
        </w:rPr>
      </w:pPr>
    </w:p>
    <w:p w14:paraId="1A5E49E3" w14:textId="77777777" w:rsidR="00A130E4" w:rsidRPr="00381329" w:rsidRDefault="00A130E4" w:rsidP="00A130E4">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381329">
        <w:rPr>
          <w:rFonts w:ascii="Arial" w:hAnsi="Arial"/>
          <w:b/>
          <w:i/>
        </w:rPr>
        <w:t>Disclaimer</w:t>
      </w:r>
    </w:p>
    <w:p w14:paraId="2E4543C3" w14:textId="77777777" w:rsidR="00A130E4" w:rsidRPr="00381329" w:rsidRDefault="00A130E4" w:rsidP="00A130E4">
      <w:pPr>
        <w:pStyle w:val="FP"/>
        <w:framePr w:h="1625" w:hRule="exact" w:wrap="notBeside" w:vAnchor="page" w:hAnchor="page" w:x="871" w:y="11581"/>
        <w:spacing w:after="240"/>
        <w:jc w:val="center"/>
        <w:rPr>
          <w:rFonts w:ascii="Arial" w:hAnsi="Arial" w:cs="Arial"/>
          <w:sz w:val="18"/>
          <w:szCs w:val="18"/>
        </w:rPr>
      </w:pPr>
      <w:r w:rsidRPr="00381329">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381329">
        <w:rPr>
          <w:rFonts w:ascii="Arial" w:hAnsi="Arial" w:cs="Arial"/>
          <w:sz w:val="18"/>
          <w:szCs w:val="18"/>
        </w:rPr>
        <w:br/>
        <w:t>It does not necessarily represent the views of the entire ETSI membership.</w:t>
      </w:r>
    </w:p>
    <w:p w14:paraId="32454F75" w14:textId="77777777" w:rsidR="00A130E4" w:rsidRPr="00381329" w:rsidRDefault="00A130E4" w:rsidP="00A130E4">
      <w:pPr>
        <w:pStyle w:val="ZB"/>
        <w:framePr w:w="6341" w:h="450" w:hRule="exact" w:wrap="notBeside" w:hAnchor="page" w:x="811" w:y="5401"/>
        <w:jc w:val="left"/>
        <w:rPr>
          <w:rFonts w:ascii="Century Gothic" w:hAnsi="Century Gothic"/>
          <w:b/>
          <w:i w:val="0"/>
          <w:caps/>
          <w:noProof w:val="0"/>
          <w:color w:val="FFFFFF"/>
          <w:sz w:val="32"/>
          <w:szCs w:val="32"/>
        </w:rPr>
      </w:pPr>
      <w:r w:rsidRPr="00381329">
        <w:rPr>
          <w:rFonts w:ascii="Century Gothic" w:hAnsi="Century Gothic"/>
          <w:b/>
          <w:i w:val="0"/>
          <w:caps/>
          <w:noProof w:val="0"/>
          <w:color w:val="FFFFFF"/>
          <w:sz w:val="32"/>
          <w:szCs w:val="32"/>
        </w:rPr>
        <w:t>Group Specification</w:t>
      </w:r>
    </w:p>
    <w:p w14:paraId="2805F726" w14:textId="77777777" w:rsidR="00A130E4" w:rsidRPr="00381329" w:rsidRDefault="00A130E4" w:rsidP="00A130E4">
      <w:pPr>
        <w:rPr>
          <w:rFonts w:ascii="Arial" w:hAnsi="Arial" w:cs="Arial"/>
          <w:sz w:val="18"/>
          <w:szCs w:val="18"/>
        </w:rPr>
        <w:sectPr w:rsidR="00A130E4" w:rsidRPr="00381329" w:rsidSect="006767A3">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07E736C3" w14:textId="77777777" w:rsidR="00A130E4" w:rsidRPr="00381329" w:rsidRDefault="00A130E4" w:rsidP="00A130E4">
      <w:pPr>
        <w:pStyle w:val="FP"/>
        <w:framePr w:w="9758" w:wrap="notBeside" w:vAnchor="page" w:hAnchor="page" w:x="1169" w:y="1742"/>
        <w:pBdr>
          <w:bottom w:val="single" w:sz="6" w:space="1" w:color="auto"/>
        </w:pBdr>
        <w:ind w:left="2835" w:right="2835"/>
        <w:jc w:val="center"/>
      </w:pPr>
      <w:r w:rsidRPr="00381329">
        <w:lastRenderedPageBreak/>
        <w:t>Reference</w:t>
      </w:r>
    </w:p>
    <w:p w14:paraId="42C486FE" w14:textId="02938F30" w:rsidR="00374555" w:rsidRPr="00374555" w:rsidRDefault="00374555" w:rsidP="00374555">
      <w:pPr>
        <w:framePr w:w="9758" w:wrap="notBeside" w:vAnchor="page" w:hAnchor="page" w:x="1169" w:y="1742"/>
        <w:overflowPunct/>
        <w:spacing w:after="0"/>
        <w:jc w:val="center"/>
        <w:textAlignment w:val="auto"/>
        <w:rPr>
          <w:rFonts w:ascii="Arial" w:hAnsi="Arial"/>
          <w:sz w:val="18"/>
        </w:rPr>
      </w:pPr>
      <w:r w:rsidRPr="00374555">
        <w:rPr>
          <w:rFonts w:ascii="Arial" w:hAnsi="Arial"/>
          <w:sz w:val="18"/>
        </w:rPr>
        <w:t>DGS/PDL-0026_Settlmt_UB_serv</w:t>
      </w:r>
    </w:p>
    <w:p w14:paraId="4C2C9508" w14:textId="087B96D8" w:rsidR="00A130E4" w:rsidRPr="00381329" w:rsidRDefault="00A130E4" w:rsidP="00A130E4">
      <w:pPr>
        <w:pStyle w:val="FP"/>
        <w:framePr w:w="9758" w:wrap="notBeside" w:vAnchor="page" w:hAnchor="page" w:x="1169" w:y="1742"/>
        <w:ind w:left="2268" w:right="2268"/>
        <w:jc w:val="center"/>
        <w:rPr>
          <w:rFonts w:ascii="Arial" w:hAnsi="Arial"/>
          <w:sz w:val="18"/>
        </w:rPr>
      </w:pPr>
    </w:p>
    <w:p w14:paraId="655E249A" w14:textId="77777777" w:rsidR="00A130E4" w:rsidRPr="00381329" w:rsidRDefault="00A130E4" w:rsidP="00A130E4">
      <w:pPr>
        <w:pStyle w:val="FP"/>
        <w:framePr w:w="9758" w:wrap="notBeside" w:vAnchor="page" w:hAnchor="page" w:x="1169" w:y="1742"/>
        <w:pBdr>
          <w:bottom w:val="single" w:sz="6" w:space="1" w:color="auto"/>
        </w:pBdr>
        <w:spacing w:before="240"/>
        <w:ind w:left="2835" w:right="2835"/>
        <w:jc w:val="center"/>
      </w:pPr>
      <w:r w:rsidRPr="00381329">
        <w:t>Keywords</w:t>
      </w:r>
    </w:p>
    <w:p w14:paraId="67AF19D6" w14:textId="23AB95EB" w:rsidR="00A130E4" w:rsidRPr="00381329" w:rsidRDefault="00A130E4" w:rsidP="00A130E4">
      <w:pPr>
        <w:pStyle w:val="FP"/>
        <w:framePr w:w="9758" w:wrap="notBeside" w:vAnchor="page" w:hAnchor="page" w:x="1169" w:y="1742"/>
        <w:ind w:left="2835" w:right="2835"/>
        <w:jc w:val="center"/>
        <w:rPr>
          <w:rFonts w:ascii="Arial" w:hAnsi="Arial"/>
          <w:sz w:val="18"/>
        </w:rPr>
      </w:pPr>
      <w:r w:rsidRPr="00381329">
        <w:rPr>
          <w:rFonts w:ascii="Arial" w:hAnsi="Arial"/>
          <w:sz w:val="18"/>
        </w:rPr>
        <w:t xml:space="preserve">Distributed Ledger, </w:t>
      </w:r>
      <w:r w:rsidR="005D277A">
        <w:rPr>
          <w:rFonts w:ascii="Arial" w:hAnsi="Arial"/>
          <w:sz w:val="18"/>
        </w:rPr>
        <w:t>Architecture</w:t>
      </w:r>
    </w:p>
    <w:p w14:paraId="437F042E" w14:textId="77777777" w:rsidR="00A130E4" w:rsidRPr="00381329" w:rsidRDefault="00A130E4" w:rsidP="00A130E4"/>
    <w:p w14:paraId="7AD01F97" w14:textId="77777777" w:rsidR="00A130E4" w:rsidRPr="00381329" w:rsidRDefault="00A130E4" w:rsidP="00A130E4">
      <w:pPr>
        <w:pStyle w:val="FP"/>
        <w:framePr w:w="9758" w:wrap="notBeside" w:vAnchor="page" w:hAnchor="page" w:x="1169" w:y="3698"/>
        <w:spacing w:after="120"/>
        <w:ind w:left="2835" w:right="2835"/>
        <w:jc w:val="center"/>
        <w:rPr>
          <w:rFonts w:ascii="Arial" w:hAnsi="Arial"/>
          <w:b/>
          <w:i/>
        </w:rPr>
      </w:pPr>
      <w:r w:rsidRPr="00381329">
        <w:rPr>
          <w:rFonts w:ascii="Arial" w:hAnsi="Arial"/>
          <w:b/>
          <w:i/>
        </w:rPr>
        <w:t>ETSI</w:t>
      </w:r>
    </w:p>
    <w:p w14:paraId="1D58DD9E" w14:textId="77777777" w:rsidR="00A130E4" w:rsidRPr="00381329" w:rsidRDefault="00A130E4" w:rsidP="00A130E4">
      <w:pPr>
        <w:pStyle w:val="FP"/>
        <w:framePr w:w="9758" w:wrap="notBeside" w:vAnchor="page" w:hAnchor="page" w:x="1169" w:y="3698"/>
        <w:pBdr>
          <w:bottom w:val="single" w:sz="6" w:space="1" w:color="auto"/>
        </w:pBdr>
        <w:ind w:left="2835" w:right="2835"/>
        <w:jc w:val="center"/>
        <w:rPr>
          <w:rFonts w:ascii="Arial" w:hAnsi="Arial"/>
          <w:sz w:val="18"/>
        </w:rPr>
      </w:pPr>
      <w:r w:rsidRPr="00381329">
        <w:rPr>
          <w:rFonts w:ascii="Arial" w:hAnsi="Arial"/>
          <w:sz w:val="18"/>
        </w:rPr>
        <w:t xml:space="preserve">650 Route des </w:t>
      </w:r>
      <w:proofErr w:type="spellStart"/>
      <w:r w:rsidRPr="00381329">
        <w:rPr>
          <w:rFonts w:ascii="Arial" w:hAnsi="Arial"/>
          <w:sz w:val="18"/>
        </w:rPr>
        <w:t>Lucioles</w:t>
      </w:r>
      <w:proofErr w:type="spellEnd"/>
    </w:p>
    <w:p w14:paraId="753AB051" w14:textId="77777777" w:rsidR="00A130E4" w:rsidRPr="00381329" w:rsidRDefault="00A130E4" w:rsidP="00A130E4">
      <w:pPr>
        <w:pStyle w:val="FP"/>
        <w:framePr w:w="9758" w:wrap="notBeside" w:vAnchor="page" w:hAnchor="page" w:x="1169" w:y="3698"/>
        <w:pBdr>
          <w:bottom w:val="single" w:sz="6" w:space="1" w:color="auto"/>
        </w:pBdr>
        <w:ind w:left="2835" w:right="2835"/>
        <w:jc w:val="center"/>
      </w:pPr>
      <w:r w:rsidRPr="00381329">
        <w:rPr>
          <w:rFonts w:ascii="Arial" w:hAnsi="Arial"/>
          <w:sz w:val="18"/>
        </w:rPr>
        <w:t>F-06921 Sophia Antipolis Cedex - FRANCE</w:t>
      </w:r>
    </w:p>
    <w:p w14:paraId="678AFCEC" w14:textId="77777777" w:rsidR="00A130E4" w:rsidRPr="00381329" w:rsidRDefault="00A130E4" w:rsidP="00A130E4">
      <w:pPr>
        <w:pStyle w:val="FP"/>
        <w:framePr w:w="9758" w:wrap="notBeside" w:vAnchor="page" w:hAnchor="page" w:x="1169" w:y="3698"/>
        <w:ind w:left="2835" w:right="2835"/>
        <w:jc w:val="center"/>
        <w:rPr>
          <w:rFonts w:ascii="Arial" w:hAnsi="Arial"/>
          <w:sz w:val="18"/>
        </w:rPr>
      </w:pPr>
    </w:p>
    <w:p w14:paraId="5A15E058" w14:textId="77777777" w:rsidR="00A130E4" w:rsidRPr="00381329" w:rsidRDefault="00A130E4" w:rsidP="00A130E4">
      <w:pPr>
        <w:pStyle w:val="FP"/>
        <w:framePr w:w="9758" w:wrap="notBeside" w:vAnchor="page" w:hAnchor="page" w:x="1169" w:y="3698"/>
        <w:spacing w:after="20"/>
        <w:ind w:left="2835" w:right="2835"/>
        <w:jc w:val="center"/>
        <w:rPr>
          <w:rFonts w:ascii="Arial" w:hAnsi="Arial"/>
          <w:sz w:val="18"/>
        </w:rPr>
      </w:pPr>
      <w:r w:rsidRPr="00381329">
        <w:rPr>
          <w:rFonts w:ascii="Arial" w:hAnsi="Arial"/>
          <w:sz w:val="18"/>
        </w:rPr>
        <w:t>Tel.: +33 4 92 94 42 00   Fax: +33 4 93 65 47 16</w:t>
      </w:r>
    </w:p>
    <w:p w14:paraId="144C7E6B" w14:textId="77777777" w:rsidR="00A130E4" w:rsidRPr="00381329" w:rsidRDefault="00A130E4" w:rsidP="00A130E4">
      <w:pPr>
        <w:pStyle w:val="FP"/>
        <w:framePr w:w="9758" w:wrap="notBeside" w:vAnchor="page" w:hAnchor="page" w:x="1169" w:y="3698"/>
        <w:ind w:left="2835" w:right="2835"/>
        <w:jc w:val="center"/>
        <w:rPr>
          <w:rFonts w:ascii="Arial" w:hAnsi="Arial"/>
          <w:sz w:val="15"/>
        </w:rPr>
      </w:pPr>
    </w:p>
    <w:p w14:paraId="559A784E" w14:textId="77777777" w:rsidR="00A130E4" w:rsidRPr="00381329" w:rsidRDefault="00A130E4" w:rsidP="00A130E4">
      <w:pPr>
        <w:pStyle w:val="FP"/>
        <w:framePr w:w="9758" w:wrap="notBeside" w:vAnchor="page" w:hAnchor="page" w:x="1169" w:y="3698"/>
        <w:ind w:left="2835" w:right="2835"/>
        <w:jc w:val="center"/>
        <w:rPr>
          <w:rFonts w:ascii="Arial" w:hAnsi="Arial"/>
          <w:sz w:val="15"/>
        </w:rPr>
      </w:pPr>
      <w:r w:rsidRPr="00381329">
        <w:rPr>
          <w:rFonts w:ascii="Arial" w:hAnsi="Arial"/>
          <w:sz w:val="15"/>
        </w:rPr>
        <w:t xml:space="preserve">Siret N° 348 623 562 00017 - </w:t>
      </w:r>
      <w:bookmarkStart w:id="4" w:name="_Hlk67652697"/>
      <w:r w:rsidRPr="00381329">
        <w:rPr>
          <w:rFonts w:ascii="Arial" w:hAnsi="Arial"/>
          <w:sz w:val="15"/>
        </w:rPr>
        <w:t>APE 7112B</w:t>
      </w:r>
      <w:bookmarkEnd w:id="4"/>
    </w:p>
    <w:p w14:paraId="22063356" w14:textId="77777777" w:rsidR="00A130E4" w:rsidRPr="00381329" w:rsidRDefault="00A130E4" w:rsidP="00A130E4">
      <w:pPr>
        <w:pStyle w:val="FP"/>
        <w:framePr w:w="9758" w:wrap="notBeside" w:vAnchor="page" w:hAnchor="page" w:x="1169" w:y="3698"/>
        <w:ind w:left="2835" w:right="2835"/>
        <w:jc w:val="center"/>
        <w:rPr>
          <w:rFonts w:ascii="Arial" w:hAnsi="Arial"/>
          <w:sz w:val="15"/>
        </w:rPr>
      </w:pPr>
      <w:r w:rsidRPr="00381329">
        <w:rPr>
          <w:rFonts w:ascii="Arial" w:hAnsi="Arial"/>
          <w:sz w:val="15"/>
        </w:rPr>
        <w:t xml:space="preserve">Association à but non </w:t>
      </w:r>
      <w:proofErr w:type="spellStart"/>
      <w:r w:rsidRPr="00381329">
        <w:rPr>
          <w:rFonts w:ascii="Arial" w:hAnsi="Arial"/>
          <w:sz w:val="15"/>
        </w:rPr>
        <w:t>lucratif</w:t>
      </w:r>
      <w:proofErr w:type="spellEnd"/>
      <w:r w:rsidRPr="00381329">
        <w:rPr>
          <w:rFonts w:ascii="Arial" w:hAnsi="Arial"/>
          <w:sz w:val="15"/>
        </w:rPr>
        <w:t xml:space="preserve"> </w:t>
      </w:r>
      <w:proofErr w:type="spellStart"/>
      <w:r w:rsidRPr="00381329">
        <w:rPr>
          <w:rFonts w:ascii="Arial" w:hAnsi="Arial"/>
          <w:sz w:val="15"/>
        </w:rPr>
        <w:t>enregistrée</w:t>
      </w:r>
      <w:proofErr w:type="spellEnd"/>
      <w:r w:rsidRPr="00381329">
        <w:rPr>
          <w:rFonts w:ascii="Arial" w:hAnsi="Arial"/>
          <w:sz w:val="15"/>
        </w:rPr>
        <w:t xml:space="preserve"> à la</w:t>
      </w:r>
    </w:p>
    <w:p w14:paraId="62EC2C67" w14:textId="77777777" w:rsidR="00A130E4" w:rsidRPr="00381329" w:rsidRDefault="00A130E4" w:rsidP="00A130E4">
      <w:pPr>
        <w:pStyle w:val="FP"/>
        <w:framePr w:w="9758" w:wrap="notBeside" w:vAnchor="page" w:hAnchor="page" w:x="1169" w:y="3698"/>
        <w:ind w:left="2835" w:right="2835"/>
        <w:jc w:val="center"/>
        <w:rPr>
          <w:rFonts w:ascii="Arial" w:hAnsi="Arial"/>
          <w:sz w:val="15"/>
        </w:rPr>
      </w:pPr>
      <w:r w:rsidRPr="00381329">
        <w:rPr>
          <w:rFonts w:ascii="Arial" w:hAnsi="Arial"/>
          <w:sz w:val="15"/>
        </w:rPr>
        <w:t>Sous-</w:t>
      </w:r>
      <w:proofErr w:type="spellStart"/>
      <w:r w:rsidRPr="00381329">
        <w:rPr>
          <w:rFonts w:ascii="Arial" w:hAnsi="Arial"/>
          <w:sz w:val="15"/>
        </w:rPr>
        <w:t>Préfecture</w:t>
      </w:r>
      <w:proofErr w:type="spellEnd"/>
      <w:r w:rsidRPr="00381329">
        <w:rPr>
          <w:rFonts w:ascii="Arial" w:hAnsi="Arial"/>
          <w:sz w:val="15"/>
        </w:rPr>
        <w:t xml:space="preserve"> de Grasse (06) N° </w:t>
      </w:r>
      <w:bookmarkStart w:id="5" w:name="_Hlk67652713"/>
      <w:r w:rsidRPr="00381329">
        <w:rPr>
          <w:rFonts w:ascii="Arial" w:hAnsi="Arial"/>
          <w:sz w:val="15"/>
        </w:rPr>
        <w:t>w061004871</w:t>
      </w:r>
      <w:bookmarkEnd w:id="5"/>
    </w:p>
    <w:p w14:paraId="1970542C" w14:textId="77777777" w:rsidR="00A130E4" w:rsidRPr="00381329" w:rsidRDefault="00A130E4" w:rsidP="00A130E4">
      <w:pPr>
        <w:pStyle w:val="FP"/>
        <w:framePr w:w="9758" w:wrap="notBeside" w:vAnchor="page" w:hAnchor="page" w:x="1169" w:y="3698"/>
        <w:ind w:left="2835" w:right="2835"/>
        <w:jc w:val="center"/>
        <w:rPr>
          <w:rFonts w:ascii="Arial" w:hAnsi="Arial"/>
          <w:sz w:val="18"/>
        </w:rPr>
      </w:pPr>
    </w:p>
    <w:p w14:paraId="0559CCEB" w14:textId="77777777" w:rsidR="00A130E4" w:rsidRPr="00381329" w:rsidRDefault="00A130E4" w:rsidP="00A130E4">
      <w:pPr>
        <w:pStyle w:val="FP"/>
        <w:framePr w:w="9758" w:wrap="notBeside" w:vAnchor="page" w:hAnchor="page" w:x="1169" w:y="6130"/>
        <w:pBdr>
          <w:bottom w:val="single" w:sz="6" w:space="1" w:color="auto"/>
        </w:pBdr>
        <w:spacing w:after="120"/>
        <w:ind w:left="2835" w:right="2835"/>
        <w:jc w:val="center"/>
        <w:rPr>
          <w:rFonts w:ascii="Arial" w:hAnsi="Arial"/>
          <w:b/>
          <w:i/>
        </w:rPr>
      </w:pPr>
      <w:r w:rsidRPr="00381329">
        <w:rPr>
          <w:rFonts w:ascii="Arial" w:hAnsi="Arial"/>
          <w:b/>
          <w:i/>
        </w:rPr>
        <w:t>Important notice</w:t>
      </w:r>
    </w:p>
    <w:p w14:paraId="6116F7EF" w14:textId="77777777" w:rsidR="00A130E4" w:rsidRPr="00381329" w:rsidRDefault="00A130E4" w:rsidP="00A130E4">
      <w:pPr>
        <w:pStyle w:val="FP"/>
        <w:framePr w:w="9758" w:wrap="notBeside" w:vAnchor="page" w:hAnchor="page" w:x="1169" w:y="6130"/>
        <w:spacing w:after="120"/>
        <w:jc w:val="center"/>
        <w:rPr>
          <w:rFonts w:ascii="Arial" w:hAnsi="Arial" w:cs="Arial"/>
          <w:sz w:val="18"/>
        </w:rPr>
      </w:pPr>
      <w:r w:rsidRPr="00381329">
        <w:rPr>
          <w:rFonts w:ascii="Arial" w:hAnsi="Arial" w:cs="Arial"/>
          <w:sz w:val="18"/>
        </w:rPr>
        <w:t>The present document can be downloaded from:</w:t>
      </w:r>
      <w:r w:rsidRPr="00381329">
        <w:rPr>
          <w:rFonts w:ascii="Arial" w:hAnsi="Arial" w:cs="Arial"/>
          <w:sz w:val="18"/>
        </w:rPr>
        <w:br/>
      </w:r>
      <w:hyperlink r:id="rId14" w:history="1">
        <w:r w:rsidRPr="00403A45">
          <w:rPr>
            <w:rStyle w:val="Hyperlink"/>
            <w:rFonts w:ascii="Arial" w:hAnsi="Arial"/>
            <w:sz w:val="18"/>
          </w:rPr>
          <w:t>https://www.etsi.org/standards-search</w:t>
        </w:r>
      </w:hyperlink>
    </w:p>
    <w:p w14:paraId="49327E3D" w14:textId="77777777" w:rsidR="00A130E4" w:rsidRPr="00374555" w:rsidRDefault="00A130E4" w:rsidP="00A130E4">
      <w:pPr>
        <w:pStyle w:val="FP"/>
        <w:framePr w:w="9758" w:wrap="notBeside" w:vAnchor="page" w:hAnchor="page" w:x="1169" w:y="6130"/>
        <w:spacing w:after="120"/>
        <w:jc w:val="center"/>
        <w:rPr>
          <w:rFonts w:ascii="Arial" w:hAnsi="Arial" w:cs="Arial"/>
          <w:sz w:val="18"/>
        </w:rPr>
      </w:pPr>
      <w:r w:rsidRPr="00381329">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w:t>
      </w:r>
      <w:r w:rsidRPr="00374555">
        <w:rPr>
          <w:rFonts w:ascii="Arial" w:hAnsi="Arial" w:cs="Arial"/>
          <w:sz w:val="18"/>
        </w:rPr>
        <w:t xml:space="preserve">one made publicly available in PDF format at </w:t>
      </w:r>
      <w:hyperlink r:id="rId15" w:history="1">
        <w:r w:rsidRPr="00403A45">
          <w:rPr>
            <w:rStyle w:val="Hyperlink"/>
            <w:rFonts w:ascii="Arial" w:hAnsi="Arial" w:cs="Arial"/>
            <w:sz w:val="18"/>
          </w:rPr>
          <w:t>www.etsi.org/deliver</w:t>
        </w:r>
      </w:hyperlink>
      <w:r w:rsidRPr="00374555">
        <w:rPr>
          <w:rFonts w:ascii="Arial" w:hAnsi="Arial" w:cs="Arial"/>
          <w:sz w:val="18"/>
        </w:rPr>
        <w:t>.</w:t>
      </w:r>
    </w:p>
    <w:p w14:paraId="3121D203" w14:textId="77777777" w:rsidR="00A130E4" w:rsidRPr="00374555" w:rsidRDefault="00A130E4" w:rsidP="00A130E4">
      <w:pPr>
        <w:pStyle w:val="FP"/>
        <w:framePr w:w="9758" w:wrap="notBeside" w:vAnchor="page" w:hAnchor="page" w:x="1169" w:y="6130"/>
        <w:spacing w:after="120"/>
        <w:jc w:val="center"/>
        <w:rPr>
          <w:rFonts w:ascii="Arial" w:hAnsi="Arial" w:cs="Arial"/>
          <w:sz w:val="18"/>
        </w:rPr>
      </w:pPr>
      <w:r w:rsidRPr="00374555">
        <w:rPr>
          <w:rFonts w:ascii="Arial" w:hAnsi="Arial" w:cs="Arial"/>
          <w:sz w:val="18"/>
        </w:rPr>
        <w:t xml:space="preserve">Users of the present document should be aware that the document may be subject to revision or change of status. Information on the </w:t>
      </w:r>
      <w:proofErr w:type="gramStart"/>
      <w:r w:rsidRPr="00374555">
        <w:rPr>
          <w:rFonts w:ascii="Arial" w:hAnsi="Arial" w:cs="Arial"/>
          <w:sz w:val="18"/>
        </w:rPr>
        <w:t>current status</w:t>
      </w:r>
      <w:proofErr w:type="gramEnd"/>
      <w:r w:rsidRPr="00374555">
        <w:rPr>
          <w:rFonts w:ascii="Arial" w:hAnsi="Arial" w:cs="Arial"/>
          <w:sz w:val="18"/>
        </w:rPr>
        <w:t xml:space="preserve"> of this and other ETSI documents is available at </w:t>
      </w:r>
      <w:hyperlink r:id="rId16" w:history="1">
        <w:r w:rsidRPr="00403A45">
          <w:rPr>
            <w:rStyle w:val="Hyperlink"/>
            <w:rFonts w:ascii="Arial" w:hAnsi="Arial" w:cs="Arial"/>
            <w:sz w:val="18"/>
          </w:rPr>
          <w:t>https://portal.etsi.org/TB/ETSIDeliverableStatus.aspx</w:t>
        </w:r>
      </w:hyperlink>
    </w:p>
    <w:p w14:paraId="79828D7C" w14:textId="77777777" w:rsidR="00A130E4" w:rsidRPr="001D748C" w:rsidRDefault="00A130E4" w:rsidP="00A130E4">
      <w:pPr>
        <w:pStyle w:val="FP"/>
        <w:framePr w:w="9758" w:wrap="notBeside" w:vAnchor="page" w:hAnchor="page" w:x="1169" w:y="6130"/>
        <w:spacing w:after="120"/>
        <w:jc w:val="center"/>
        <w:rPr>
          <w:rStyle w:val="Hyperlink"/>
          <w:rFonts w:ascii="Arial" w:hAnsi="Arial" w:cs="Arial"/>
          <w:color w:val="auto"/>
          <w:sz w:val="18"/>
        </w:rPr>
      </w:pPr>
      <w:r w:rsidRPr="00374555">
        <w:rPr>
          <w:rFonts w:ascii="Arial" w:hAnsi="Arial" w:cs="Arial"/>
          <w:sz w:val="18"/>
        </w:rPr>
        <w:t>If you find errors in the present document, please send your comment to one of the following services:</w:t>
      </w:r>
      <w:r w:rsidRPr="00374555">
        <w:rPr>
          <w:rFonts w:ascii="Arial" w:hAnsi="Arial" w:cs="Arial"/>
          <w:sz w:val="18"/>
        </w:rPr>
        <w:br/>
      </w:r>
      <w:hyperlink r:id="rId17" w:history="1">
        <w:r w:rsidRPr="00403A45">
          <w:rPr>
            <w:rStyle w:val="Hyperlink"/>
            <w:rFonts w:ascii="Arial" w:hAnsi="Arial" w:cs="Arial"/>
            <w:sz w:val="18"/>
          </w:rPr>
          <w:t>https://portal.etsi.org/People/CommiteeSupportStaff.aspx</w:t>
        </w:r>
      </w:hyperlink>
    </w:p>
    <w:p w14:paraId="207ACA6E" w14:textId="77777777" w:rsidR="00A130E4" w:rsidRPr="00374555" w:rsidRDefault="00A130E4" w:rsidP="00A130E4">
      <w:pPr>
        <w:framePr w:w="9758" w:wrap="notBeside" w:vAnchor="page" w:hAnchor="page" w:x="1169" w:y="6130"/>
        <w:overflowPunct/>
        <w:autoSpaceDE/>
        <w:autoSpaceDN/>
        <w:adjustRightInd/>
        <w:spacing w:after="0"/>
        <w:jc w:val="center"/>
        <w:textAlignment w:val="auto"/>
        <w:rPr>
          <w:rFonts w:ascii="Arial" w:hAnsi="Arial" w:cs="Arial"/>
          <w:sz w:val="18"/>
        </w:rPr>
      </w:pPr>
      <w:r w:rsidRPr="00374555">
        <w:rPr>
          <w:rFonts w:ascii="Arial" w:hAnsi="Arial" w:cs="Arial"/>
          <w:sz w:val="18"/>
        </w:rPr>
        <w:t xml:space="preserve">If you find a security vulnerability in the present document, please report it through </w:t>
      </w:r>
      <w:proofErr w:type="gramStart"/>
      <w:r w:rsidRPr="00374555">
        <w:rPr>
          <w:rFonts w:ascii="Arial" w:hAnsi="Arial" w:cs="Arial"/>
          <w:sz w:val="18"/>
        </w:rPr>
        <w:t>our</w:t>
      </w:r>
      <w:proofErr w:type="gramEnd"/>
      <w:r w:rsidRPr="00374555">
        <w:rPr>
          <w:rFonts w:ascii="Arial" w:hAnsi="Arial" w:cs="Arial"/>
          <w:sz w:val="18"/>
        </w:rPr>
        <w:t xml:space="preserve"> </w:t>
      </w:r>
    </w:p>
    <w:p w14:paraId="21B4A585" w14:textId="77777777" w:rsidR="00A130E4" w:rsidRPr="00374555" w:rsidRDefault="00A130E4" w:rsidP="00A130E4">
      <w:pPr>
        <w:framePr w:w="9758" w:wrap="notBeside" w:vAnchor="page" w:hAnchor="page" w:x="1169" w:y="6130"/>
        <w:overflowPunct/>
        <w:autoSpaceDE/>
        <w:autoSpaceDN/>
        <w:adjustRightInd/>
        <w:spacing w:after="0"/>
        <w:jc w:val="center"/>
        <w:textAlignment w:val="auto"/>
        <w:rPr>
          <w:rFonts w:ascii="Arial" w:hAnsi="Arial" w:cs="Arial"/>
          <w:sz w:val="18"/>
        </w:rPr>
      </w:pPr>
      <w:r w:rsidRPr="00374555">
        <w:rPr>
          <w:rFonts w:ascii="Arial" w:hAnsi="Arial" w:cs="Arial"/>
          <w:sz w:val="18"/>
        </w:rPr>
        <w:t>Coordinated Vulnerability Disclosure Program:</w:t>
      </w:r>
    </w:p>
    <w:p w14:paraId="2A3EA4B4" w14:textId="77777777" w:rsidR="00A130E4" w:rsidRPr="001D748C" w:rsidRDefault="00000000" w:rsidP="00A130E4">
      <w:pPr>
        <w:pStyle w:val="FP"/>
        <w:framePr w:w="9758" w:wrap="notBeside" w:vAnchor="page" w:hAnchor="page" w:x="1169" w:y="6130"/>
        <w:spacing w:after="240"/>
        <w:jc w:val="center"/>
        <w:rPr>
          <w:rStyle w:val="Hyperlink"/>
          <w:rFonts w:ascii="Arial" w:hAnsi="Arial" w:cs="Arial"/>
          <w:color w:val="auto"/>
          <w:sz w:val="18"/>
        </w:rPr>
      </w:pPr>
      <w:hyperlink r:id="rId18" w:history="1">
        <w:r w:rsidR="00A130E4" w:rsidRPr="00403A45">
          <w:rPr>
            <w:rStyle w:val="Hyperlink"/>
            <w:rFonts w:ascii="Arial" w:hAnsi="Arial" w:cs="Arial"/>
            <w:sz w:val="18"/>
          </w:rPr>
          <w:t>https://www.etsi.org/standards/coordinated-vulnerability-disclosure</w:t>
        </w:r>
      </w:hyperlink>
    </w:p>
    <w:p w14:paraId="40414882" w14:textId="77777777" w:rsidR="00A130E4" w:rsidRPr="00374555" w:rsidRDefault="00A130E4" w:rsidP="00A130E4">
      <w:pPr>
        <w:pStyle w:val="FP"/>
        <w:framePr w:w="9758" w:wrap="notBeside" w:vAnchor="page" w:hAnchor="page" w:x="1169" w:y="6130"/>
        <w:pBdr>
          <w:bottom w:val="single" w:sz="6" w:space="1" w:color="auto"/>
        </w:pBdr>
        <w:spacing w:after="120"/>
        <w:ind w:left="2835" w:right="2552"/>
        <w:jc w:val="center"/>
        <w:rPr>
          <w:rFonts w:ascii="Arial" w:hAnsi="Arial"/>
          <w:b/>
          <w:i/>
        </w:rPr>
      </w:pPr>
      <w:r w:rsidRPr="00374555">
        <w:rPr>
          <w:rFonts w:ascii="Arial" w:hAnsi="Arial"/>
          <w:b/>
          <w:i/>
        </w:rPr>
        <w:t>Notice of disclaimer &amp; limitation of liability</w:t>
      </w:r>
    </w:p>
    <w:p w14:paraId="23878922" w14:textId="77777777" w:rsidR="00A130E4" w:rsidRPr="00374555" w:rsidRDefault="00A130E4" w:rsidP="00A130E4">
      <w:pPr>
        <w:pStyle w:val="FP"/>
        <w:framePr w:w="9758" w:wrap="notBeside" w:vAnchor="page" w:hAnchor="page" w:x="1169" w:y="6130"/>
        <w:jc w:val="center"/>
        <w:rPr>
          <w:rFonts w:ascii="Arial" w:hAnsi="Arial" w:cs="Arial"/>
          <w:sz w:val="18"/>
        </w:rPr>
      </w:pPr>
      <w:r w:rsidRPr="00374555">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21A49207" w14:textId="77777777" w:rsidR="00A130E4" w:rsidRPr="00374555" w:rsidRDefault="00A130E4" w:rsidP="00A130E4">
      <w:pPr>
        <w:pStyle w:val="FP"/>
        <w:framePr w:w="9758" w:wrap="notBeside" w:vAnchor="page" w:hAnchor="page" w:x="1169" w:y="6130"/>
        <w:jc w:val="center"/>
        <w:rPr>
          <w:rFonts w:ascii="Arial" w:hAnsi="Arial" w:cs="Arial"/>
          <w:sz w:val="18"/>
        </w:rPr>
      </w:pPr>
      <w:r w:rsidRPr="00374555">
        <w:rPr>
          <w:rFonts w:ascii="Arial" w:hAnsi="Arial" w:cs="Arial"/>
          <w:sz w:val="18"/>
        </w:rPr>
        <w:t xml:space="preserve">other professional standard and applicable regulations. </w:t>
      </w:r>
    </w:p>
    <w:p w14:paraId="4182E49E" w14:textId="77777777" w:rsidR="00A130E4" w:rsidRPr="00374555" w:rsidRDefault="00A130E4" w:rsidP="00A130E4">
      <w:pPr>
        <w:pStyle w:val="FP"/>
        <w:framePr w:w="9758" w:wrap="notBeside" w:vAnchor="page" w:hAnchor="page" w:x="1169" w:y="6130"/>
        <w:jc w:val="center"/>
        <w:rPr>
          <w:rFonts w:ascii="Arial" w:hAnsi="Arial" w:cs="Arial"/>
          <w:sz w:val="18"/>
        </w:rPr>
      </w:pPr>
      <w:r w:rsidRPr="00374555">
        <w:rPr>
          <w:rFonts w:ascii="Arial" w:hAnsi="Arial" w:cs="Arial"/>
          <w:sz w:val="18"/>
        </w:rPr>
        <w:t>No recommendation as to products and services or vendors is made or should be implied.</w:t>
      </w:r>
    </w:p>
    <w:p w14:paraId="55896594" w14:textId="77777777" w:rsidR="00A130E4" w:rsidRPr="00381329" w:rsidRDefault="00A130E4" w:rsidP="00A130E4">
      <w:pPr>
        <w:pStyle w:val="FP"/>
        <w:framePr w:w="9758" w:wrap="notBeside" w:vAnchor="page" w:hAnchor="page" w:x="1169" w:y="6130"/>
        <w:jc w:val="center"/>
        <w:rPr>
          <w:rFonts w:ascii="Arial" w:hAnsi="Arial" w:cs="Arial"/>
          <w:sz w:val="18"/>
        </w:rPr>
      </w:pPr>
      <w:bookmarkStart w:id="6" w:name="EN_Delete_Disclaimer"/>
      <w:r w:rsidRPr="00374555">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w:t>
      </w:r>
      <w:r w:rsidRPr="00381329">
        <w:rPr>
          <w:rFonts w:ascii="Arial" w:hAnsi="Arial" w:cs="Arial"/>
          <w:sz w:val="18"/>
        </w:rPr>
        <w:t xml:space="preserve"> rights.</w:t>
      </w:r>
    </w:p>
    <w:bookmarkEnd w:id="6"/>
    <w:p w14:paraId="130AB2FD" w14:textId="77777777" w:rsidR="00A130E4" w:rsidRPr="00381329" w:rsidRDefault="00A130E4" w:rsidP="00A130E4">
      <w:pPr>
        <w:pStyle w:val="FP"/>
        <w:framePr w:w="9758" w:wrap="notBeside" w:vAnchor="page" w:hAnchor="page" w:x="1169" w:y="6130"/>
        <w:jc w:val="center"/>
        <w:rPr>
          <w:rFonts w:ascii="Arial" w:hAnsi="Arial" w:cs="Arial"/>
          <w:sz w:val="18"/>
        </w:rPr>
      </w:pPr>
      <w:r w:rsidRPr="00381329">
        <w:rPr>
          <w:rFonts w:ascii="Arial" w:hAnsi="Arial" w:cs="Arial"/>
          <w:sz w:val="18"/>
        </w:rPr>
        <w:t>In no event shall ETSI be held liable for loss of profits or any other incidental or consequential damages.</w:t>
      </w:r>
    </w:p>
    <w:p w14:paraId="1C814DAF" w14:textId="77777777" w:rsidR="00A130E4" w:rsidRPr="00381329" w:rsidRDefault="00A130E4" w:rsidP="00A130E4">
      <w:pPr>
        <w:pStyle w:val="FP"/>
        <w:framePr w:w="9758" w:wrap="notBeside" w:vAnchor="page" w:hAnchor="page" w:x="1169" w:y="6130"/>
        <w:jc w:val="center"/>
        <w:rPr>
          <w:rFonts w:ascii="Arial" w:hAnsi="Arial" w:cs="Arial"/>
          <w:sz w:val="18"/>
        </w:rPr>
      </w:pPr>
    </w:p>
    <w:p w14:paraId="278DE7C6" w14:textId="77777777" w:rsidR="00A130E4" w:rsidRPr="00381329" w:rsidRDefault="00A130E4" w:rsidP="00A130E4">
      <w:pPr>
        <w:pStyle w:val="FP"/>
        <w:framePr w:w="9758" w:wrap="notBeside" w:vAnchor="page" w:hAnchor="page" w:x="1169" w:y="6130"/>
        <w:spacing w:after="240"/>
        <w:jc w:val="center"/>
        <w:rPr>
          <w:rFonts w:ascii="Arial" w:hAnsi="Arial" w:cs="Arial"/>
          <w:sz w:val="18"/>
        </w:rPr>
      </w:pPr>
      <w:r w:rsidRPr="00381329">
        <w:rPr>
          <w:rFonts w:ascii="Arial" w:hAnsi="Arial" w:cs="Arial"/>
          <w:sz w:val="18"/>
        </w:rPr>
        <w:t>Any software c</w:t>
      </w:r>
      <w:r w:rsidRPr="00374555">
        <w:rPr>
          <w:rFonts w:ascii="Arial" w:hAnsi="Arial" w:cs="Arial"/>
          <w:sz w:val="18"/>
        </w:rPr>
        <w:t>ontained in this deliverable is provided "AS IS" with no warranties, express or implied, including but not limited to, the warranties of merchantability, fitness</w:t>
      </w:r>
      <w:r w:rsidRPr="00381329">
        <w:rPr>
          <w:rFonts w:ascii="Arial" w:hAnsi="Arial" w:cs="Arial"/>
          <w:sz w:val="18"/>
        </w:rPr>
        <w:t xml:space="preserve">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0A016F6C" w14:textId="77777777" w:rsidR="00A130E4" w:rsidRPr="00381329" w:rsidRDefault="00A130E4" w:rsidP="00A130E4">
      <w:pPr>
        <w:pStyle w:val="FP"/>
        <w:framePr w:w="9758" w:wrap="notBeside" w:vAnchor="page" w:hAnchor="page" w:x="1169" w:y="6130"/>
        <w:pBdr>
          <w:bottom w:val="single" w:sz="6" w:space="1" w:color="auto"/>
        </w:pBdr>
        <w:spacing w:after="120"/>
        <w:jc w:val="center"/>
        <w:rPr>
          <w:rFonts w:ascii="Arial" w:hAnsi="Arial"/>
          <w:b/>
          <w:i/>
        </w:rPr>
      </w:pPr>
      <w:r w:rsidRPr="00381329">
        <w:rPr>
          <w:rFonts w:ascii="Arial" w:hAnsi="Arial"/>
          <w:b/>
          <w:i/>
        </w:rPr>
        <w:t>Copyright Notification</w:t>
      </w:r>
    </w:p>
    <w:p w14:paraId="741C4990" w14:textId="77777777" w:rsidR="00A130E4" w:rsidRPr="001D748C" w:rsidRDefault="00A130E4" w:rsidP="00A130E4">
      <w:pPr>
        <w:pStyle w:val="FP"/>
        <w:framePr w:w="9758" w:wrap="notBeside" w:vAnchor="page" w:hAnchor="page" w:x="1169" w:y="6130"/>
        <w:jc w:val="center"/>
        <w:rPr>
          <w:rFonts w:ascii="Arial" w:hAnsi="Arial" w:cs="Arial"/>
          <w:sz w:val="18"/>
        </w:rPr>
      </w:pPr>
      <w:r w:rsidRPr="001D748C">
        <w:rPr>
          <w:rFonts w:ascii="Arial" w:hAnsi="Arial" w:cs="Arial"/>
          <w:sz w:val="18"/>
        </w:rPr>
        <w:t>Reproduction is only permitted for the purpose of standardization work undertaken within ETSI.</w:t>
      </w:r>
      <w:r w:rsidRPr="001D748C">
        <w:rPr>
          <w:rFonts w:ascii="Arial" w:hAnsi="Arial" w:cs="Arial"/>
          <w:sz w:val="18"/>
        </w:rPr>
        <w:br/>
        <w:t>The copyright and the foregoing restrictions extend to reproduction in all media.</w:t>
      </w:r>
    </w:p>
    <w:p w14:paraId="7C3F1684" w14:textId="77777777" w:rsidR="00A130E4" w:rsidRPr="00381329" w:rsidRDefault="00A130E4" w:rsidP="00A130E4">
      <w:pPr>
        <w:pStyle w:val="FP"/>
        <w:framePr w:w="9758" w:wrap="notBeside" w:vAnchor="page" w:hAnchor="page" w:x="1169" w:y="6130"/>
        <w:jc w:val="center"/>
        <w:rPr>
          <w:rFonts w:ascii="Arial" w:hAnsi="Arial" w:cs="Arial"/>
          <w:sz w:val="18"/>
        </w:rPr>
      </w:pPr>
    </w:p>
    <w:p w14:paraId="1B4FB3E0" w14:textId="77777777" w:rsidR="00A130E4" w:rsidRPr="00381329" w:rsidRDefault="00A130E4" w:rsidP="00A130E4">
      <w:pPr>
        <w:pStyle w:val="FP"/>
        <w:framePr w:w="9758" w:wrap="notBeside" w:vAnchor="page" w:hAnchor="page" w:x="1169" w:y="6130"/>
        <w:jc w:val="center"/>
        <w:rPr>
          <w:rFonts w:ascii="Arial" w:hAnsi="Arial" w:cs="Arial"/>
          <w:sz w:val="18"/>
        </w:rPr>
      </w:pPr>
      <w:r w:rsidRPr="00381329">
        <w:rPr>
          <w:rFonts w:ascii="Arial" w:hAnsi="Arial" w:cs="Arial"/>
          <w:sz w:val="18"/>
        </w:rPr>
        <w:t>© ETSI 2024.</w:t>
      </w:r>
    </w:p>
    <w:p w14:paraId="5BB45DD5" w14:textId="77777777" w:rsidR="00A130E4" w:rsidRPr="00381329" w:rsidRDefault="00A130E4" w:rsidP="00A130E4">
      <w:pPr>
        <w:pStyle w:val="FP"/>
        <w:framePr w:w="9758" w:wrap="notBeside" w:vAnchor="page" w:hAnchor="page" w:x="1169" w:y="6130"/>
        <w:jc w:val="center"/>
        <w:rPr>
          <w:rFonts w:ascii="Arial" w:hAnsi="Arial" w:cs="Arial"/>
          <w:sz w:val="18"/>
          <w:szCs w:val="18"/>
        </w:rPr>
      </w:pPr>
      <w:r w:rsidRPr="00381329">
        <w:rPr>
          <w:rFonts w:ascii="Arial" w:hAnsi="Arial" w:cs="Arial"/>
          <w:sz w:val="18"/>
        </w:rPr>
        <w:t>All rights reserved.</w:t>
      </w:r>
      <w:r w:rsidRPr="00381329">
        <w:rPr>
          <w:rFonts w:ascii="Arial" w:hAnsi="Arial" w:cs="Arial"/>
          <w:sz w:val="18"/>
        </w:rPr>
        <w:br/>
      </w:r>
    </w:p>
    <w:p w14:paraId="621505C8" w14:textId="31809CD5" w:rsidR="0028368D" w:rsidRPr="00381329" w:rsidRDefault="00A130E4" w:rsidP="00A130E4">
      <w:pPr>
        <w:pStyle w:val="TT"/>
      </w:pPr>
      <w:r w:rsidRPr="00381329">
        <w:br w:type="page"/>
      </w:r>
      <w:r w:rsidR="0028368D" w:rsidRPr="00381329">
        <w:lastRenderedPageBreak/>
        <w:t>Contents</w:t>
      </w:r>
    </w:p>
    <w:p w14:paraId="7269B691" w14:textId="3DE0D21A" w:rsidR="00403A45" w:rsidRDefault="00403A45" w:rsidP="00403A45">
      <w:pPr>
        <w:pStyle w:val="TOC1"/>
        <w:rPr>
          <w:rFonts w:asciiTheme="minorHAnsi" w:eastAsiaTheme="minorEastAsia" w:hAnsiTheme="minorHAnsi" w:cstheme="minorBidi"/>
          <w:kern w:val="2"/>
          <w:szCs w:val="22"/>
          <w:lang w:eastAsia="en-GB"/>
          <w14:ligatures w14:val="standardContextual"/>
        </w:rPr>
      </w:pPr>
      <w:r>
        <w:fldChar w:fldCharType="begin"/>
      </w:r>
      <w:r>
        <w:instrText xml:space="preserve"> TOC \o \w "1-9"</w:instrText>
      </w:r>
      <w:r>
        <w:fldChar w:fldCharType="separate"/>
      </w:r>
      <w:r>
        <w:t>Intellectual Property Rights</w:t>
      </w:r>
      <w:r>
        <w:tab/>
      </w:r>
      <w:r>
        <w:fldChar w:fldCharType="begin"/>
      </w:r>
      <w:r>
        <w:instrText xml:space="preserve"> PAGEREF _Toc161049337 \h </w:instrText>
      </w:r>
      <w:r>
        <w:fldChar w:fldCharType="separate"/>
      </w:r>
      <w:r>
        <w:t>5</w:t>
      </w:r>
      <w:r>
        <w:fldChar w:fldCharType="end"/>
      </w:r>
    </w:p>
    <w:p w14:paraId="5C8DCB77" w14:textId="7E2236C8" w:rsidR="00403A45" w:rsidRDefault="00403A45" w:rsidP="00403A45">
      <w:pPr>
        <w:pStyle w:val="TOC1"/>
        <w:rPr>
          <w:rFonts w:asciiTheme="minorHAnsi" w:eastAsiaTheme="minorEastAsia" w:hAnsiTheme="minorHAnsi" w:cstheme="minorBidi"/>
          <w:kern w:val="2"/>
          <w:szCs w:val="22"/>
          <w:lang w:eastAsia="en-GB"/>
          <w14:ligatures w14:val="standardContextual"/>
        </w:rPr>
      </w:pPr>
      <w:r>
        <w:t>Foreword</w:t>
      </w:r>
      <w:r>
        <w:tab/>
      </w:r>
      <w:r>
        <w:fldChar w:fldCharType="begin"/>
      </w:r>
      <w:r>
        <w:instrText xml:space="preserve"> PAGEREF _Toc161049338 \h </w:instrText>
      </w:r>
      <w:r>
        <w:fldChar w:fldCharType="separate"/>
      </w:r>
      <w:r>
        <w:t>5</w:t>
      </w:r>
      <w:r>
        <w:fldChar w:fldCharType="end"/>
      </w:r>
    </w:p>
    <w:p w14:paraId="46C3788F" w14:textId="78212343" w:rsidR="00403A45" w:rsidRDefault="00403A45" w:rsidP="00403A45">
      <w:pPr>
        <w:pStyle w:val="TOC1"/>
        <w:rPr>
          <w:rFonts w:asciiTheme="minorHAnsi" w:eastAsiaTheme="minorEastAsia" w:hAnsiTheme="minorHAnsi" w:cstheme="minorBidi"/>
          <w:kern w:val="2"/>
          <w:szCs w:val="22"/>
          <w:lang w:eastAsia="en-GB"/>
          <w14:ligatures w14:val="standardContextual"/>
        </w:rPr>
      </w:pPr>
      <w:r>
        <w:t>Modal verbs terminology</w:t>
      </w:r>
      <w:r>
        <w:tab/>
      </w:r>
      <w:r>
        <w:fldChar w:fldCharType="begin"/>
      </w:r>
      <w:r>
        <w:instrText xml:space="preserve"> PAGEREF _Toc161049339 \h </w:instrText>
      </w:r>
      <w:r>
        <w:fldChar w:fldCharType="separate"/>
      </w:r>
      <w:r>
        <w:t>5</w:t>
      </w:r>
      <w:r>
        <w:fldChar w:fldCharType="end"/>
      </w:r>
    </w:p>
    <w:p w14:paraId="53F4E81B" w14:textId="1C997FA0" w:rsidR="00403A45" w:rsidRDefault="00403A45" w:rsidP="00403A45">
      <w:pPr>
        <w:pStyle w:val="TOC1"/>
        <w:rPr>
          <w:rFonts w:asciiTheme="minorHAnsi" w:eastAsiaTheme="minorEastAsia" w:hAnsiTheme="minorHAnsi" w:cstheme="minorBidi"/>
          <w:kern w:val="2"/>
          <w:szCs w:val="22"/>
          <w:lang w:eastAsia="en-GB"/>
          <w14:ligatures w14:val="standardContextual"/>
        </w:rPr>
      </w:pPr>
      <w:r>
        <w:t>Executive summary</w:t>
      </w:r>
      <w:r>
        <w:tab/>
      </w:r>
      <w:r>
        <w:fldChar w:fldCharType="begin"/>
      </w:r>
      <w:r>
        <w:instrText xml:space="preserve"> PAGEREF _Toc161049340 \h </w:instrText>
      </w:r>
      <w:r>
        <w:fldChar w:fldCharType="separate"/>
      </w:r>
      <w:r>
        <w:t>5</w:t>
      </w:r>
      <w:r>
        <w:fldChar w:fldCharType="end"/>
      </w:r>
    </w:p>
    <w:p w14:paraId="75792BB2" w14:textId="438EF781" w:rsidR="00403A45" w:rsidRDefault="00403A45" w:rsidP="00403A45">
      <w:pPr>
        <w:pStyle w:val="TOC1"/>
        <w:rPr>
          <w:rFonts w:asciiTheme="minorHAnsi" w:eastAsiaTheme="minorEastAsia" w:hAnsiTheme="minorHAnsi" w:cstheme="minorBidi"/>
          <w:kern w:val="2"/>
          <w:szCs w:val="22"/>
          <w:lang w:eastAsia="en-GB"/>
          <w14:ligatures w14:val="standardContextual"/>
        </w:rPr>
      </w:pPr>
      <w:r>
        <w:t>Introduction</w:t>
      </w:r>
      <w:r>
        <w:tab/>
      </w:r>
      <w:r>
        <w:fldChar w:fldCharType="begin"/>
      </w:r>
      <w:r>
        <w:instrText xml:space="preserve"> PAGEREF _Toc161049341 \h </w:instrText>
      </w:r>
      <w:r>
        <w:fldChar w:fldCharType="separate"/>
      </w:r>
      <w:r>
        <w:t>6</w:t>
      </w:r>
      <w:r>
        <w:fldChar w:fldCharType="end"/>
      </w:r>
    </w:p>
    <w:p w14:paraId="448E4E57" w14:textId="5458B2A5" w:rsidR="00403A45" w:rsidRDefault="00403A45" w:rsidP="00403A45">
      <w:pPr>
        <w:pStyle w:val="TOC1"/>
        <w:rPr>
          <w:rFonts w:asciiTheme="minorHAnsi" w:eastAsiaTheme="minorEastAsia" w:hAnsiTheme="minorHAnsi" w:cstheme="minorBidi"/>
          <w:kern w:val="2"/>
          <w:szCs w:val="22"/>
          <w:lang w:eastAsia="en-GB"/>
          <w14:ligatures w14:val="standardContextual"/>
        </w:rPr>
      </w:pPr>
      <w:r>
        <w:t>1</w:t>
      </w:r>
      <w:r>
        <w:tab/>
        <w:t>Scope</w:t>
      </w:r>
      <w:r>
        <w:tab/>
      </w:r>
      <w:r>
        <w:fldChar w:fldCharType="begin"/>
      </w:r>
      <w:r>
        <w:instrText xml:space="preserve"> PAGEREF _Toc161049342 \h </w:instrText>
      </w:r>
      <w:r>
        <w:fldChar w:fldCharType="separate"/>
      </w:r>
      <w:r>
        <w:t>7</w:t>
      </w:r>
      <w:r>
        <w:fldChar w:fldCharType="end"/>
      </w:r>
    </w:p>
    <w:p w14:paraId="2260310E" w14:textId="4E8AA30E"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1.1</w:t>
      </w:r>
      <w:r>
        <w:tab/>
        <w:t>Introduction</w:t>
      </w:r>
      <w:r>
        <w:tab/>
      </w:r>
      <w:r>
        <w:fldChar w:fldCharType="begin"/>
      </w:r>
      <w:r>
        <w:instrText xml:space="preserve"> PAGEREF _Toc161049343 \h </w:instrText>
      </w:r>
      <w:r>
        <w:fldChar w:fldCharType="separate"/>
      </w:r>
      <w:r>
        <w:t>7</w:t>
      </w:r>
      <w:r>
        <w:fldChar w:fldCharType="end"/>
      </w:r>
    </w:p>
    <w:p w14:paraId="5F46AA92" w14:textId="4DF3609E"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1.2</w:t>
      </w:r>
      <w:r>
        <w:tab/>
        <w:t>In scope</w:t>
      </w:r>
      <w:r>
        <w:tab/>
      </w:r>
      <w:r>
        <w:fldChar w:fldCharType="begin"/>
      </w:r>
      <w:r>
        <w:instrText xml:space="preserve"> PAGEREF _Toc161049344 \h </w:instrText>
      </w:r>
      <w:r>
        <w:fldChar w:fldCharType="separate"/>
      </w:r>
      <w:r>
        <w:t>7</w:t>
      </w:r>
      <w:r>
        <w:fldChar w:fldCharType="end"/>
      </w:r>
    </w:p>
    <w:p w14:paraId="350A7DA1" w14:textId="47F56E03"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1.3</w:t>
      </w:r>
      <w:r>
        <w:tab/>
        <w:t>Out of scope</w:t>
      </w:r>
      <w:r>
        <w:tab/>
      </w:r>
      <w:r>
        <w:fldChar w:fldCharType="begin"/>
      </w:r>
      <w:r>
        <w:instrText xml:space="preserve"> PAGEREF _Toc161049345 \h </w:instrText>
      </w:r>
      <w:r>
        <w:fldChar w:fldCharType="separate"/>
      </w:r>
      <w:r>
        <w:t>7</w:t>
      </w:r>
      <w:r>
        <w:fldChar w:fldCharType="end"/>
      </w:r>
    </w:p>
    <w:p w14:paraId="6E82541D" w14:textId="55C710DF" w:rsidR="00403A45" w:rsidRDefault="00403A45" w:rsidP="00403A45">
      <w:pPr>
        <w:pStyle w:val="TOC1"/>
        <w:rPr>
          <w:rFonts w:asciiTheme="minorHAnsi" w:eastAsiaTheme="minorEastAsia" w:hAnsiTheme="minorHAnsi" w:cstheme="minorBidi"/>
          <w:kern w:val="2"/>
          <w:szCs w:val="22"/>
          <w:lang w:eastAsia="en-GB"/>
          <w14:ligatures w14:val="standardContextual"/>
        </w:rPr>
      </w:pPr>
      <w:r>
        <w:t>2</w:t>
      </w:r>
      <w:r>
        <w:tab/>
        <w:t>References</w:t>
      </w:r>
      <w:r>
        <w:tab/>
      </w:r>
      <w:r>
        <w:fldChar w:fldCharType="begin"/>
      </w:r>
      <w:r>
        <w:instrText xml:space="preserve"> PAGEREF _Toc161049346 \h </w:instrText>
      </w:r>
      <w:r>
        <w:fldChar w:fldCharType="separate"/>
      </w:r>
      <w:r>
        <w:t>7</w:t>
      </w:r>
      <w:r>
        <w:fldChar w:fldCharType="end"/>
      </w:r>
    </w:p>
    <w:p w14:paraId="18E1D971" w14:textId="719A3E9D"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2.1</w:t>
      </w:r>
      <w:r>
        <w:tab/>
        <w:t>Normative references</w:t>
      </w:r>
      <w:r>
        <w:tab/>
      </w:r>
      <w:r>
        <w:fldChar w:fldCharType="begin"/>
      </w:r>
      <w:r>
        <w:instrText xml:space="preserve"> PAGEREF _Toc161049347 \h </w:instrText>
      </w:r>
      <w:r>
        <w:fldChar w:fldCharType="separate"/>
      </w:r>
      <w:r>
        <w:t>7</w:t>
      </w:r>
      <w:r>
        <w:fldChar w:fldCharType="end"/>
      </w:r>
    </w:p>
    <w:p w14:paraId="2B5F9619" w14:textId="4292A07B"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2.2</w:t>
      </w:r>
      <w:r>
        <w:tab/>
        <w:t>Informative references</w:t>
      </w:r>
      <w:r>
        <w:tab/>
      </w:r>
      <w:r>
        <w:fldChar w:fldCharType="begin"/>
      </w:r>
      <w:r>
        <w:instrText xml:space="preserve"> PAGEREF _Toc161049348 \h </w:instrText>
      </w:r>
      <w:r>
        <w:fldChar w:fldCharType="separate"/>
      </w:r>
      <w:r>
        <w:t>7</w:t>
      </w:r>
      <w:r>
        <w:fldChar w:fldCharType="end"/>
      </w:r>
    </w:p>
    <w:p w14:paraId="0D0E12F4" w14:textId="6D115444" w:rsidR="00403A45" w:rsidRDefault="00403A45" w:rsidP="00403A45">
      <w:pPr>
        <w:pStyle w:val="TOC1"/>
        <w:rPr>
          <w:rFonts w:asciiTheme="minorHAnsi" w:eastAsiaTheme="minorEastAsia" w:hAnsiTheme="minorHAnsi" w:cstheme="minorBidi"/>
          <w:kern w:val="2"/>
          <w:szCs w:val="22"/>
          <w:lang w:eastAsia="en-GB"/>
          <w14:ligatures w14:val="standardContextual"/>
        </w:rPr>
      </w:pPr>
      <w:r>
        <w:t>3</w:t>
      </w:r>
      <w:r>
        <w:tab/>
        <w:t>Definition of terms, symbols and abbreviations</w:t>
      </w:r>
      <w:r>
        <w:tab/>
      </w:r>
      <w:r>
        <w:fldChar w:fldCharType="begin"/>
      </w:r>
      <w:r>
        <w:instrText xml:space="preserve"> PAGEREF _Toc161049349 \h </w:instrText>
      </w:r>
      <w:r>
        <w:fldChar w:fldCharType="separate"/>
      </w:r>
      <w:r>
        <w:t>8</w:t>
      </w:r>
      <w:r>
        <w:fldChar w:fldCharType="end"/>
      </w:r>
    </w:p>
    <w:p w14:paraId="6FF9D442" w14:textId="1924BCAC"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3.1</w:t>
      </w:r>
      <w:r>
        <w:tab/>
        <w:t>Terms</w:t>
      </w:r>
      <w:r>
        <w:tab/>
      </w:r>
      <w:r>
        <w:fldChar w:fldCharType="begin"/>
      </w:r>
      <w:r>
        <w:instrText xml:space="preserve"> PAGEREF _Toc161049350 \h </w:instrText>
      </w:r>
      <w:r>
        <w:fldChar w:fldCharType="separate"/>
      </w:r>
      <w:r>
        <w:t>8</w:t>
      </w:r>
      <w:r>
        <w:fldChar w:fldCharType="end"/>
      </w:r>
    </w:p>
    <w:p w14:paraId="5E50DBF7" w14:textId="7C68D0E4"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3.2</w:t>
      </w:r>
      <w:r>
        <w:tab/>
        <w:t>Symbols</w:t>
      </w:r>
      <w:r>
        <w:tab/>
      </w:r>
      <w:r>
        <w:fldChar w:fldCharType="begin"/>
      </w:r>
      <w:r>
        <w:instrText xml:space="preserve"> PAGEREF _Toc161049351 \h </w:instrText>
      </w:r>
      <w:r>
        <w:fldChar w:fldCharType="separate"/>
      </w:r>
      <w:r>
        <w:t>9</w:t>
      </w:r>
      <w:r>
        <w:fldChar w:fldCharType="end"/>
      </w:r>
    </w:p>
    <w:p w14:paraId="5F137376" w14:textId="3953107C"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3.3</w:t>
      </w:r>
      <w:r>
        <w:tab/>
        <w:t>Abbreviations</w:t>
      </w:r>
      <w:r>
        <w:tab/>
      </w:r>
      <w:r>
        <w:fldChar w:fldCharType="begin"/>
      </w:r>
      <w:r>
        <w:instrText xml:space="preserve"> PAGEREF _Toc161049352 \h </w:instrText>
      </w:r>
      <w:r>
        <w:fldChar w:fldCharType="separate"/>
      </w:r>
      <w:r>
        <w:t>9</w:t>
      </w:r>
      <w:r>
        <w:fldChar w:fldCharType="end"/>
      </w:r>
    </w:p>
    <w:p w14:paraId="084162D1" w14:textId="791A32B0" w:rsidR="00403A45" w:rsidRDefault="00403A45" w:rsidP="00403A45">
      <w:pPr>
        <w:pStyle w:val="TOC1"/>
        <w:rPr>
          <w:rFonts w:asciiTheme="minorHAnsi" w:eastAsiaTheme="minorEastAsia" w:hAnsiTheme="minorHAnsi" w:cstheme="minorBidi"/>
          <w:kern w:val="2"/>
          <w:szCs w:val="22"/>
          <w:lang w:eastAsia="en-GB"/>
          <w14:ligatures w14:val="standardContextual"/>
        </w:rPr>
      </w:pPr>
      <w:r>
        <w:t>4</w:t>
      </w:r>
      <w:r>
        <w:tab/>
        <w:t>Management of Data in a multi-domain environment</w:t>
      </w:r>
      <w:r>
        <w:tab/>
      </w:r>
      <w:r>
        <w:fldChar w:fldCharType="begin"/>
      </w:r>
      <w:r>
        <w:instrText xml:space="preserve"> PAGEREF _Toc161049353 \h </w:instrText>
      </w:r>
      <w:r>
        <w:fldChar w:fldCharType="separate"/>
      </w:r>
      <w:r>
        <w:t>9</w:t>
      </w:r>
      <w:r>
        <w:fldChar w:fldCharType="end"/>
      </w:r>
    </w:p>
    <w:p w14:paraId="4F78A372" w14:textId="626832E0"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4.1</w:t>
      </w:r>
      <w:r>
        <w:tab/>
        <w:t>Introduction</w:t>
      </w:r>
      <w:r>
        <w:tab/>
      </w:r>
      <w:r>
        <w:fldChar w:fldCharType="begin"/>
      </w:r>
      <w:r>
        <w:instrText xml:space="preserve"> PAGEREF _Toc161049354 \h </w:instrText>
      </w:r>
      <w:r>
        <w:fldChar w:fldCharType="separate"/>
      </w:r>
      <w:r>
        <w:t>9</w:t>
      </w:r>
      <w:r>
        <w:fldChar w:fldCharType="end"/>
      </w:r>
    </w:p>
    <w:p w14:paraId="62233D1B" w14:textId="6E363E7E"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4.2</w:t>
      </w:r>
      <w:r>
        <w:tab/>
        <w:t>Sources of data</w:t>
      </w:r>
      <w:r>
        <w:tab/>
      </w:r>
      <w:r>
        <w:fldChar w:fldCharType="begin"/>
      </w:r>
      <w:r>
        <w:instrText xml:space="preserve"> PAGEREF _Toc161049355 \h </w:instrText>
      </w:r>
      <w:r>
        <w:fldChar w:fldCharType="separate"/>
      </w:r>
      <w:r>
        <w:t>10</w:t>
      </w:r>
      <w:r>
        <w:fldChar w:fldCharType="end"/>
      </w:r>
    </w:p>
    <w:p w14:paraId="7CEC15D6" w14:textId="39070D19" w:rsidR="00403A45" w:rsidRDefault="00403A45" w:rsidP="00403A45">
      <w:pPr>
        <w:pStyle w:val="TOC3"/>
        <w:rPr>
          <w:rFonts w:asciiTheme="minorHAnsi" w:eastAsiaTheme="minorEastAsia" w:hAnsiTheme="minorHAnsi" w:cstheme="minorBidi"/>
          <w:kern w:val="2"/>
          <w:sz w:val="22"/>
          <w:szCs w:val="22"/>
          <w:lang w:eastAsia="en-GB"/>
          <w14:ligatures w14:val="standardContextual"/>
        </w:rPr>
      </w:pPr>
      <w:r>
        <w:t>4.2.1</w:t>
      </w:r>
      <w:r>
        <w:tab/>
        <w:t>Single-Sourced data</w:t>
      </w:r>
      <w:r>
        <w:tab/>
      </w:r>
      <w:r>
        <w:fldChar w:fldCharType="begin"/>
      </w:r>
      <w:r>
        <w:instrText xml:space="preserve"> PAGEREF _Toc161049356 \h </w:instrText>
      </w:r>
      <w:r>
        <w:fldChar w:fldCharType="separate"/>
      </w:r>
      <w:r>
        <w:t>10</w:t>
      </w:r>
      <w:r>
        <w:fldChar w:fldCharType="end"/>
      </w:r>
    </w:p>
    <w:p w14:paraId="080EBB91" w14:textId="1CDD5571" w:rsidR="00403A45" w:rsidRDefault="00403A45" w:rsidP="00403A45">
      <w:pPr>
        <w:pStyle w:val="TOC3"/>
        <w:rPr>
          <w:rFonts w:asciiTheme="minorHAnsi" w:eastAsiaTheme="minorEastAsia" w:hAnsiTheme="minorHAnsi" w:cstheme="minorBidi"/>
          <w:kern w:val="2"/>
          <w:sz w:val="22"/>
          <w:szCs w:val="22"/>
          <w:lang w:eastAsia="en-GB"/>
          <w14:ligatures w14:val="standardContextual"/>
        </w:rPr>
      </w:pPr>
      <w:r>
        <w:t>4.2.2</w:t>
      </w:r>
      <w:r>
        <w:tab/>
        <w:t>Multi-Sourced data</w:t>
      </w:r>
      <w:r>
        <w:tab/>
      </w:r>
      <w:r>
        <w:fldChar w:fldCharType="begin"/>
      </w:r>
      <w:r>
        <w:instrText xml:space="preserve"> PAGEREF _Toc161049357 \h </w:instrText>
      </w:r>
      <w:r>
        <w:fldChar w:fldCharType="separate"/>
      </w:r>
      <w:r>
        <w:t>10</w:t>
      </w:r>
      <w:r>
        <w:fldChar w:fldCharType="end"/>
      </w:r>
    </w:p>
    <w:p w14:paraId="383E50DD" w14:textId="09DFA350"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4.3</w:t>
      </w:r>
      <w:r>
        <w:tab/>
        <w:t>Characteristics of Data</w:t>
      </w:r>
      <w:r>
        <w:tab/>
      </w:r>
      <w:r>
        <w:fldChar w:fldCharType="begin"/>
      </w:r>
      <w:r>
        <w:instrText xml:space="preserve"> PAGEREF _Toc161049358 \h </w:instrText>
      </w:r>
      <w:r>
        <w:fldChar w:fldCharType="separate"/>
      </w:r>
      <w:r>
        <w:t>11</w:t>
      </w:r>
      <w:r>
        <w:fldChar w:fldCharType="end"/>
      </w:r>
    </w:p>
    <w:p w14:paraId="49B1080D" w14:textId="3E018CCF" w:rsidR="00403A45" w:rsidRDefault="00403A45" w:rsidP="00403A45">
      <w:pPr>
        <w:pStyle w:val="TOC3"/>
        <w:rPr>
          <w:rFonts w:asciiTheme="minorHAnsi" w:eastAsiaTheme="minorEastAsia" w:hAnsiTheme="minorHAnsi" w:cstheme="minorBidi"/>
          <w:kern w:val="2"/>
          <w:sz w:val="22"/>
          <w:szCs w:val="22"/>
          <w:lang w:eastAsia="en-GB"/>
          <w14:ligatures w14:val="standardContextual"/>
        </w:rPr>
      </w:pPr>
      <w:r>
        <w:t>4.3.1</w:t>
      </w:r>
      <w:r>
        <w:tab/>
        <w:t>Introduction</w:t>
      </w:r>
      <w:r>
        <w:tab/>
      </w:r>
      <w:r>
        <w:fldChar w:fldCharType="begin"/>
      </w:r>
      <w:r>
        <w:instrText xml:space="preserve"> PAGEREF _Toc161049359 \h </w:instrText>
      </w:r>
      <w:r>
        <w:fldChar w:fldCharType="separate"/>
      </w:r>
      <w:r>
        <w:t>11</w:t>
      </w:r>
      <w:r>
        <w:fldChar w:fldCharType="end"/>
      </w:r>
    </w:p>
    <w:p w14:paraId="278EA56E" w14:textId="57428192" w:rsidR="00403A45" w:rsidRDefault="00403A45" w:rsidP="00403A45">
      <w:pPr>
        <w:pStyle w:val="TOC3"/>
        <w:rPr>
          <w:rFonts w:asciiTheme="minorHAnsi" w:eastAsiaTheme="minorEastAsia" w:hAnsiTheme="minorHAnsi" w:cstheme="minorBidi"/>
          <w:kern w:val="2"/>
          <w:sz w:val="22"/>
          <w:szCs w:val="22"/>
          <w:lang w:eastAsia="en-GB"/>
          <w14:ligatures w14:val="standardContextual"/>
        </w:rPr>
      </w:pPr>
      <w:r>
        <w:t>4.3.2</w:t>
      </w:r>
      <w:r>
        <w:tab/>
        <w:t>Commercial value</w:t>
      </w:r>
      <w:r>
        <w:tab/>
      </w:r>
      <w:r>
        <w:fldChar w:fldCharType="begin"/>
      </w:r>
      <w:r>
        <w:instrText xml:space="preserve"> PAGEREF _Toc161049360 \h </w:instrText>
      </w:r>
      <w:r>
        <w:fldChar w:fldCharType="separate"/>
      </w:r>
      <w:r>
        <w:t>11</w:t>
      </w:r>
      <w:r>
        <w:fldChar w:fldCharType="end"/>
      </w:r>
    </w:p>
    <w:p w14:paraId="266D241C" w14:textId="2AA563B5" w:rsidR="00403A45" w:rsidRDefault="00403A45" w:rsidP="00403A45">
      <w:pPr>
        <w:pStyle w:val="TOC3"/>
        <w:rPr>
          <w:rFonts w:asciiTheme="minorHAnsi" w:eastAsiaTheme="minorEastAsia" w:hAnsiTheme="minorHAnsi" w:cstheme="minorBidi"/>
          <w:kern w:val="2"/>
          <w:sz w:val="22"/>
          <w:szCs w:val="22"/>
          <w:lang w:eastAsia="en-GB"/>
          <w14:ligatures w14:val="standardContextual"/>
        </w:rPr>
      </w:pPr>
      <w:r>
        <w:t>4.3.3</w:t>
      </w:r>
      <w:r>
        <w:tab/>
        <w:t>Cost of transacting</w:t>
      </w:r>
      <w:r>
        <w:tab/>
      </w:r>
      <w:r>
        <w:fldChar w:fldCharType="begin"/>
      </w:r>
      <w:r>
        <w:instrText xml:space="preserve"> PAGEREF _Toc161049361 \h </w:instrText>
      </w:r>
      <w:r>
        <w:fldChar w:fldCharType="separate"/>
      </w:r>
      <w:r>
        <w:t>11</w:t>
      </w:r>
      <w:r>
        <w:fldChar w:fldCharType="end"/>
      </w:r>
    </w:p>
    <w:p w14:paraId="440F1406" w14:textId="1CF7F209" w:rsidR="00403A45" w:rsidRDefault="00403A45" w:rsidP="00403A45">
      <w:pPr>
        <w:pStyle w:val="TOC3"/>
        <w:rPr>
          <w:rFonts w:asciiTheme="minorHAnsi" w:eastAsiaTheme="minorEastAsia" w:hAnsiTheme="minorHAnsi" w:cstheme="minorBidi"/>
          <w:kern w:val="2"/>
          <w:sz w:val="22"/>
          <w:szCs w:val="22"/>
          <w:lang w:eastAsia="en-GB"/>
          <w14:ligatures w14:val="standardContextual"/>
        </w:rPr>
      </w:pPr>
      <w:r>
        <w:t>4.3.4</w:t>
      </w:r>
      <w:r>
        <w:tab/>
        <w:t>Volume of data</w:t>
      </w:r>
      <w:r>
        <w:tab/>
      </w:r>
      <w:r>
        <w:fldChar w:fldCharType="begin"/>
      </w:r>
      <w:r>
        <w:instrText xml:space="preserve"> PAGEREF _Toc161049362 \h </w:instrText>
      </w:r>
      <w:r>
        <w:fldChar w:fldCharType="separate"/>
      </w:r>
      <w:r>
        <w:t>11</w:t>
      </w:r>
      <w:r>
        <w:fldChar w:fldCharType="end"/>
      </w:r>
    </w:p>
    <w:p w14:paraId="117FF975" w14:textId="3B8D8BED" w:rsidR="00403A45" w:rsidRDefault="00403A45" w:rsidP="00403A45">
      <w:pPr>
        <w:pStyle w:val="TOC3"/>
        <w:rPr>
          <w:rFonts w:asciiTheme="minorHAnsi" w:eastAsiaTheme="minorEastAsia" w:hAnsiTheme="minorHAnsi" w:cstheme="minorBidi"/>
          <w:kern w:val="2"/>
          <w:sz w:val="22"/>
          <w:szCs w:val="22"/>
          <w:lang w:eastAsia="en-GB"/>
          <w14:ligatures w14:val="standardContextual"/>
        </w:rPr>
      </w:pPr>
      <w:r>
        <w:t>4.3.5</w:t>
      </w:r>
      <w:r>
        <w:tab/>
        <w:t>Processing of Per-Item data and Aggregated data</w:t>
      </w:r>
      <w:r>
        <w:tab/>
      </w:r>
      <w:r>
        <w:fldChar w:fldCharType="begin"/>
      </w:r>
      <w:r>
        <w:instrText xml:space="preserve"> PAGEREF _Toc161049363 \h </w:instrText>
      </w:r>
      <w:r>
        <w:fldChar w:fldCharType="separate"/>
      </w:r>
      <w:r>
        <w:t>12</w:t>
      </w:r>
      <w:r>
        <w:fldChar w:fldCharType="end"/>
      </w:r>
    </w:p>
    <w:p w14:paraId="7591B7B8" w14:textId="5BB6982D" w:rsidR="00403A45" w:rsidRDefault="00403A45" w:rsidP="00403A45">
      <w:pPr>
        <w:pStyle w:val="TOC3"/>
        <w:rPr>
          <w:rFonts w:asciiTheme="minorHAnsi" w:eastAsiaTheme="minorEastAsia" w:hAnsiTheme="minorHAnsi" w:cstheme="minorBidi"/>
          <w:kern w:val="2"/>
          <w:sz w:val="22"/>
          <w:szCs w:val="22"/>
          <w:lang w:eastAsia="en-GB"/>
          <w14:ligatures w14:val="standardContextual"/>
        </w:rPr>
      </w:pPr>
      <w:r>
        <w:t>4.3.6</w:t>
      </w:r>
      <w:r>
        <w:tab/>
        <w:t>Frequency of Reconciliation and Settlement</w:t>
      </w:r>
      <w:r>
        <w:tab/>
      </w:r>
      <w:r>
        <w:fldChar w:fldCharType="begin"/>
      </w:r>
      <w:r>
        <w:instrText xml:space="preserve"> PAGEREF _Toc161049364 \h </w:instrText>
      </w:r>
      <w:r>
        <w:fldChar w:fldCharType="separate"/>
      </w:r>
      <w:r>
        <w:t>12</w:t>
      </w:r>
      <w:r>
        <w:fldChar w:fldCharType="end"/>
      </w:r>
    </w:p>
    <w:p w14:paraId="72421337" w14:textId="5DE97BD1" w:rsidR="00403A45" w:rsidRDefault="00403A45" w:rsidP="00403A45">
      <w:pPr>
        <w:pStyle w:val="TOC4"/>
        <w:rPr>
          <w:rFonts w:asciiTheme="minorHAnsi" w:eastAsiaTheme="minorEastAsia" w:hAnsiTheme="minorHAnsi" w:cstheme="minorBidi"/>
          <w:kern w:val="2"/>
          <w:sz w:val="22"/>
          <w:szCs w:val="22"/>
          <w:lang w:eastAsia="en-GB"/>
          <w14:ligatures w14:val="standardContextual"/>
        </w:rPr>
      </w:pPr>
      <w:r>
        <w:t>4.3.6.1</w:t>
      </w:r>
      <w:r>
        <w:tab/>
        <w:t>Term-based</w:t>
      </w:r>
      <w:r>
        <w:tab/>
      </w:r>
      <w:r>
        <w:fldChar w:fldCharType="begin"/>
      </w:r>
      <w:r>
        <w:instrText xml:space="preserve"> PAGEREF _Toc161049365 \h </w:instrText>
      </w:r>
      <w:r>
        <w:fldChar w:fldCharType="separate"/>
      </w:r>
      <w:r>
        <w:t>12</w:t>
      </w:r>
      <w:r>
        <w:fldChar w:fldCharType="end"/>
      </w:r>
    </w:p>
    <w:p w14:paraId="6BE80B1B" w14:textId="0E4E4DFC" w:rsidR="00403A45" w:rsidRDefault="00403A45" w:rsidP="00403A45">
      <w:pPr>
        <w:pStyle w:val="TOC4"/>
        <w:rPr>
          <w:rFonts w:asciiTheme="minorHAnsi" w:eastAsiaTheme="minorEastAsia" w:hAnsiTheme="minorHAnsi" w:cstheme="minorBidi"/>
          <w:kern w:val="2"/>
          <w:sz w:val="22"/>
          <w:szCs w:val="22"/>
          <w:lang w:eastAsia="en-GB"/>
          <w14:ligatures w14:val="standardContextual"/>
        </w:rPr>
      </w:pPr>
      <w:r>
        <w:t>4.3.6.2</w:t>
      </w:r>
      <w:r>
        <w:tab/>
        <w:t>Event-based</w:t>
      </w:r>
      <w:r>
        <w:tab/>
      </w:r>
      <w:r>
        <w:fldChar w:fldCharType="begin"/>
      </w:r>
      <w:r>
        <w:instrText xml:space="preserve"> PAGEREF _Toc161049366 \h </w:instrText>
      </w:r>
      <w:r>
        <w:fldChar w:fldCharType="separate"/>
      </w:r>
      <w:r>
        <w:t>12</w:t>
      </w:r>
      <w:r>
        <w:fldChar w:fldCharType="end"/>
      </w:r>
    </w:p>
    <w:p w14:paraId="3FFEFAD4" w14:textId="18E5BC7E" w:rsidR="00403A45" w:rsidRDefault="00403A45" w:rsidP="00403A45">
      <w:pPr>
        <w:pStyle w:val="TOC1"/>
        <w:rPr>
          <w:rFonts w:asciiTheme="minorHAnsi" w:eastAsiaTheme="minorEastAsia" w:hAnsiTheme="minorHAnsi" w:cstheme="minorBidi"/>
          <w:kern w:val="2"/>
          <w:szCs w:val="22"/>
          <w:lang w:eastAsia="en-GB"/>
          <w14:ligatures w14:val="standardContextual"/>
        </w:rPr>
      </w:pPr>
      <w:r>
        <w:t>5</w:t>
      </w:r>
      <w:r>
        <w:tab/>
        <w:t>PDL Nodes in a multi-domain environment</w:t>
      </w:r>
      <w:r>
        <w:tab/>
      </w:r>
      <w:r>
        <w:fldChar w:fldCharType="begin"/>
      </w:r>
      <w:r>
        <w:instrText xml:space="preserve"> PAGEREF _Toc161049367 \h </w:instrText>
      </w:r>
      <w:r>
        <w:fldChar w:fldCharType="separate"/>
      </w:r>
      <w:r>
        <w:t>13</w:t>
      </w:r>
      <w:r>
        <w:fldChar w:fldCharType="end"/>
      </w:r>
    </w:p>
    <w:p w14:paraId="33E95FC6" w14:textId="46F31C64"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5.1</w:t>
      </w:r>
      <w:r>
        <w:tab/>
        <w:t>Introduction</w:t>
      </w:r>
      <w:r>
        <w:tab/>
      </w:r>
      <w:r>
        <w:fldChar w:fldCharType="begin"/>
      </w:r>
      <w:r>
        <w:instrText xml:space="preserve"> PAGEREF _Toc161049368 \h </w:instrText>
      </w:r>
      <w:r>
        <w:fldChar w:fldCharType="separate"/>
      </w:r>
      <w:r>
        <w:t>13</w:t>
      </w:r>
      <w:r>
        <w:fldChar w:fldCharType="end"/>
      </w:r>
    </w:p>
    <w:p w14:paraId="1B0BF0B8" w14:textId="3FAC07E8"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 xml:space="preserve">5.2 </w:t>
      </w:r>
      <w:r>
        <w:tab/>
        <w:t>Number of nodes</w:t>
      </w:r>
      <w:r>
        <w:tab/>
      </w:r>
      <w:r>
        <w:fldChar w:fldCharType="begin"/>
      </w:r>
      <w:r>
        <w:instrText xml:space="preserve"> PAGEREF _Toc161049369 \h </w:instrText>
      </w:r>
      <w:r>
        <w:fldChar w:fldCharType="separate"/>
      </w:r>
      <w:r>
        <w:t>13</w:t>
      </w:r>
      <w:r>
        <w:fldChar w:fldCharType="end"/>
      </w:r>
    </w:p>
    <w:p w14:paraId="341E88C1" w14:textId="7E55CD01"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5.3</w:t>
      </w:r>
      <w:r>
        <w:tab/>
        <w:t>Ownership of nodes</w:t>
      </w:r>
      <w:r>
        <w:tab/>
      </w:r>
      <w:r>
        <w:fldChar w:fldCharType="begin"/>
      </w:r>
      <w:r>
        <w:instrText xml:space="preserve"> PAGEREF _Toc161049370 \h </w:instrText>
      </w:r>
      <w:r>
        <w:fldChar w:fldCharType="separate"/>
      </w:r>
      <w:r>
        <w:t>13</w:t>
      </w:r>
      <w:r>
        <w:fldChar w:fldCharType="end"/>
      </w:r>
    </w:p>
    <w:p w14:paraId="127119A6" w14:textId="7BF5D088"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5.4</w:t>
      </w:r>
      <w:r>
        <w:tab/>
        <w:t>Location of nodes</w:t>
      </w:r>
      <w:r>
        <w:tab/>
      </w:r>
      <w:r>
        <w:fldChar w:fldCharType="begin"/>
      </w:r>
      <w:r>
        <w:instrText xml:space="preserve"> PAGEREF _Toc161049371 \h </w:instrText>
      </w:r>
      <w:r>
        <w:fldChar w:fldCharType="separate"/>
      </w:r>
      <w:r>
        <w:t>13</w:t>
      </w:r>
      <w:r>
        <w:fldChar w:fldCharType="end"/>
      </w:r>
    </w:p>
    <w:p w14:paraId="17F1BE5D" w14:textId="31BDECE0"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5.5</w:t>
      </w:r>
      <w:r>
        <w:tab/>
        <w:t>Chain type</w:t>
      </w:r>
      <w:r>
        <w:tab/>
      </w:r>
      <w:r>
        <w:fldChar w:fldCharType="begin"/>
      </w:r>
      <w:r>
        <w:instrText xml:space="preserve"> PAGEREF _Toc161049372 \h </w:instrText>
      </w:r>
      <w:r>
        <w:fldChar w:fldCharType="separate"/>
      </w:r>
      <w:r>
        <w:t>13</w:t>
      </w:r>
      <w:r>
        <w:fldChar w:fldCharType="end"/>
      </w:r>
    </w:p>
    <w:p w14:paraId="3020AD15" w14:textId="44F3904F"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5.6</w:t>
      </w:r>
      <w:r>
        <w:tab/>
        <w:t>Data Sovereignty</w:t>
      </w:r>
      <w:r>
        <w:tab/>
      </w:r>
      <w:r>
        <w:fldChar w:fldCharType="begin"/>
      </w:r>
      <w:r>
        <w:instrText xml:space="preserve"> PAGEREF _Toc161049373 \h </w:instrText>
      </w:r>
      <w:r>
        <w:fldChar w:fldCharType="separate"/>
      </w:r>
      <w:r>
        <w:t>14</w:t>
      </w:r>
      <w:r>
        <w:fldChar w:fldCharType="end"/>
      </w:r>
    </w:p>
    <w:p w14:paraId="709CDA6A" w14:textId="4223D56D"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5.7</w:t>
      </w:r>
      <w:r>
        <w:tab/>
        <w:t>Local legislation</w:t>
      </w:r>
      <w:r>
        <w:tab/>
      </w:r>
      <w:r>
        <w:fldChar w:fldCharType="begin"/>
      </w:r>
      <w:r>
        <w:instrText xml:space="preserve"> PAGEREF _Toc161049374 \h </w:instrText>
      </w:r>
      <w:r>
        <w:fldChar w:fldCharType="separate"/>
      </w:r>
      <w:r>
        <w:t>14</w:t>
      </w:r>
      <w:r>
        <w:fldChar w:fldCharType="end"/>
      </w:r>
    </w:p>
    <w:p w14:paraId="4C7401E7" w14:textId="5933FF11" w:rsidR="00403A45" w:rsidRDefault="00403A45" w:rsidP="00403A45">
      <w:pPr>
        <w:pStyle w:val="TOC1"/>
        <w:rPr>
          <w:rFonts w:asciiTheme="minorHAnsi" w:eastAsiaTheme="minorEastAsia" w:hAnsiTheme="minorHAnsi" w:cstheme="minorBidi"/>
          <w:kern w:val="2"/>
          <w:szCs w:val="22"/>
          <w:lang w:eastAsia="en-GB"/>
          <w14:ligatures w14:val="standardContextual"/>
        </w:rPr>
      </w:pPr>
      <w:r>
        <w:t>6</w:t>
      </w:r>
      <w:r>
        <w:tab/>
        <w:t>Rating</w:t>
      </w:r>
      <w:r>
        <w:tab/>
      </w:r>
      <w:r>
        <w:fldChar w:fldCharType="begin"/>
      </w:r>
      <w:r>
        <w:instrText xml:space="preserve"> PAGEREF _Toc161049375 \h </w:instrText>
      </w:r>
      <w:r>
        <w:fldChar w:fldCharType="separate"/>
      </w:r>
      <w:r>
        <w:t>14</w:t>
      </w:r>
      <w:r>
        <w:fldChar w:fldCharType="end"/>
      </w:r>
    </w:p>
    <w:p w14:paraId="1979DC41" w14:textId="32234009" w:rsidR="00403A45" w:rsidRDefault="00403A45" w:rsidP="00403A45">
      <w:pPr>
        <w:pStyle w:val="TOC1"/>
        <w:rPr>
          <w:rFonts w:asciiTheme="minorHAnsi" w:eastAsiaTheme="minorEastAsia" w:hAnsiTheme="minorHAnsi" w:cstheme="minorBidi"/>
          <w:kern w:val="2"/>
          <w:szCs w:val="22"/>
          <w:lang w:eastAsia="en-GB"/>
          <w14:ligatures w14:val="standardContextual"/>
        </w:rPr>
      </w:pPr>
      <w:r>
        <w:t>7</w:t>
      </w:r>
      <w:r>
        <w:tab/>
        <w:t>Reconciliation</w:t>
      </w:r>
      <w:r>
        <w:tab/>
      </w:r>
      <w:r>
        <w:fldChar w:fldCharType="begin"/>
      </w:r>
      <w:r>
        <w:instrText xml:space="preserve"> PAGEREF _Toc161049376 \h </w:instrText>
      </w:r>
      <w:r>
        <w:fldChar w:fldCharType="separate"/>
      </w:r>
      <w:r>
        <w:t>15</w:t>
      </w:r>
      <w:r>
        <w:fldChar w:fldCharType="end"/>
      </w:r>
    </w:p>
    <w:p w14:paraId="73035B37" w14:textId="433E0BE4"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7.1</w:t>
      </w:r>
      <w:r>
        <w:tab/>
        <w:t>Definition of Reconciliation</w:t>
      </w:r>
      <w:r>
        <w:tab/>
      </w:r>
      <w:r>
        <w:fldChar w:fldCharType="begin"/>
      </w:r>
      <w:r>
        <w:instrText xml:space="preserve"> PAGEREF _Toc161049377 \h </w:instrText>
      </w:r>
      <w:r>
        <w:fldChar w:fldCharType="separate"/>
      </w:r>
      <w:r>
        <w:t>15</w:t>
      </w:r>
      <w:r>
        <w:fldChar w:fldCharType="end"/>
      </w:r>
    </w:p>
    <w:p w14:paraId="62CF3042" w14:textId="10B3CA3F"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7.2</w:t>
      </w:r>
      <w:r>
        <w:tab/>
        <w:t>Reconciliation prior to invoicing</w:t>
      </w:r>
      <w:r>
        <w:tab/>
      </w:r>
      <w:r>
        <w:fldChar w:fldCharType="begin"/>
      </w:r>
      <w:r>
        <w:instrText xml:space="preserve"> PAGEREF _Toc161049378 \h </w:instrText>
      </w:r>
      <w:r>
        <w:fldChar w:fldCharType="separate"/>
      </w:r>
      <w:r>
        <w:t>15</w:t>
      </w:r>
      <w:r>
        <w:fldChar w:fldCharType="end"/>
      </w:r>
    </w:p>
    <w:p w14:paraId="417B47BE" w14:textId="7592F164"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7.3</w:t>
      </w:r>
      <w:r>
        <w:tab/>
        <w:t>Reconciliation after invoicing</w:t>
      </w:r>
      <w:r>
        <w:tab/>
      </w:r>
      <w:r>
        <w:fldChar w:fldCharType="begin"/>
      </w:r>
      <w:r>
        <w:instrText xml:space="preserve"> PAGEREF _Toc161049379 \h </w:instrText>
      </w:r>
      <w:r>
        <w:fldChar w:fldCharType="separate"/>
      </w:r>
      <w:r>
        <w:t>16</w:t>
      </w:r>
      <w:r>
        <w:fldChar w:fldCharType="end"/>
      </w:r>
    </w:p>
    <w:p w14:paraId="317C0FDA" w14:textId="3C3D021C" w:rsidR="00403A45" w:rsidRDefault="00403A45" w:rsidP="00403A45">
      <w:pPr>
        <w:pStyle w:val="TOC1"/>
        <w:rPr>
          <w:rFonts w:asciiTheme="minorHAnsi" w:eastAsiaTheme="minorEastAsia" w:hAnsiTheme="minorHAnsi" w:cstheme="minorBidi"/>
          <w:kern w:val="2"/>
          <w:szCs w:val="22"/>
          <w:lang w:eastAsia="en-GB"/>
          <w14:ligatures w14:val="standardContextual"/>
        </w:rPr>
      </w:pPr>
      <w:r>
        <w:t>8</w:t>
      </w:r>
      <w:r>
        <w:tab/>
        <w:t>Invoicing</w:t>
      </w:r>
      <w:r>
        <w:tab/>
      </w:r>
      <w:r>
        <w:fldChar w:fldCharType="begin"/>
      </w:r>
      <w:r>
        <w:instrText xml:space="preserve"> PAGEREF _Toc161049380 \h </w:instrText>
      </w:r>
      <w:r>
        <w:fldChar w:fldCharType="separate"/>
      </w:r>
      <w:r>
        <w:t>16</w:t>
      </w:r>
      <w:r>
        <w:fldChar w:fldCharType="end"/>
      </w:r>
    </w:p>
    <w:p w14:paraId="7F78F123" w14:textId="2E517672"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8.1</w:t>
      </w:r>
      <w:r>
        <w:tab/>
        <w:t>Introduction to Invoicing</w:t>
      </w:r>
      <w:r>
        <w:tab/>
      </w:r>
      <w:r>
        <w:fldChar w:fldCharType="begin"/>
      </w:r>
      <w:r>
        <w:instrText xml:space="preserve"> PAGEREF _Toc161049381 \h </w:instrText>
      </w:r>
      <w:r>
        <w:fldChar w:fldCharType="separate"/>
      </w:r>
      <w:r>
        <w:t>16</w:t>
      </w:r>
      <w:r>
        <w:fldChar w:fldCharType="end"/>
      </w:r>
    </w:p>
    <w:p w14:paraId="5DC7CED6" w14:textId="17A77FF3"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8.2</w:t>
      </w:r>
      <w:r>
        <w:tab/>
        <w:t>Invoicing occurrence</w:t>
      </w:r>
      <w:r>
        <w:tab/>
      </w:r>
      <w:r>
        <w:fldChar w:fldCharType="begin"/>
      </w:r>
      <w:r>
        <w:instrText xml:space="preserve"> PAGEREF _Toc161049382 \h </w:instrText>
      </w:r>
      <w:r>
        <w:fldChar w:fldCharType="separate"/>
      </w:r>
      <w:r>
        <w:t>17</w:t>
      </w:r>
      <w:r>
        <w:fldChar w:fldCharType="end"/>
      </w:r>
    </w:p>
    <w:p w14:paraId="5556E326" w14:textId="39BE2298"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8.3</w:t>
      </w:r>
      <w:r>
        <w:tab/>
        <w:t>Invoice contents</w:t>
      </w:r>
      <w:r>
        <w:tab/>
      </w:r>
      <w:r>
        <w:fldChar w:fldCharType="begin"/>
      </w:r>
      <w:r>
        <w:instrText xml:space="preserve"> PAGEREF _Toc161049383 \h </w:instrText>
      </w:r>
      <w:r>
        <w:fldChar w:fldCharType="separate"/>
      </w:r>
      <w:r>
        <w:t>17</w:t>
      </w:r>
      <w:r>
        <w:fldChar w:fldCharType="end"/>
      </w:r>
    </w:p>
    <w:p w14:paraId="015508DE" w14:textId="75D9AF89"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8.4</w:t>
      </w:r>
      <w:r>
        <w:tab/>
        <w:t>Buyer-Seller entity multiplicity</w:t>
      </w:r>
      <w:r>
        <w:tab/>
      </w:r>
      <w:r>
        <w:fldChar w:fldCharType="begin"/>
      </w:r>
      <w:r>
        <w:instrText xml:space="preserve"> PAGEREF _Toc161049384 \h </w:instrText>
      </w:r>
      <w:r>
        <w:fldChar w:fldCharType="separate"/>
      </w:r>
      <w:r>
        <w:t>17</w:t>
      </w:r>
      <w:r>
        <w:fldChar w:fldCharType="end"/>
      </w:r>
    </w:p>
    <w:p w14:paraId="3641DAE1" w14:textId="66DACEA7"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8.5</w:t>
      </w:r>
      <w:r>
        <w:tab/>
        <w:t>Additional requirements related to Invoicing in a PDL enabled environment</w:t>
      </w:r>
      <w:r>
        <w:tab/>
      </w:r>
      <w:r>
        <w:fldChar w:fldCharType="begin"/>
      </w:r>
      <w:r>
        <w:instrText xml:space="preserve"> PAGEREF _Toc161049385 \h </w:instrText>
      </w:r>
      <w:r>
        <w:fldChar w:fldCharType="separate"/>
      </w:r>
      <w:r>
        <w:t>18</w:t>
      </w:r>
      <w:r>
        <w:fldChar w:fldCharType="end"/>
      </w:r>
    </w:p>
    <w:p w14:paraId="1776C65B" w14:textId="72599B1C" w:rsidR="00403A45" w:rsidRDefault="00403A45" w:rsidP="00403A45">
      <w:pPr>
        <w:pStyle w:val="TOC1"/>
        <w:rPr>
          <w:rFonts w:asciiTheme="minorHAnsi" w:eastAsiaTheme="minorEastAsia" w:hAnsiTheme="minorHAnsi" w:cstheme="minorBidi"/>
          <w:kern w:val="2"/>
          <w:szCs w:val="22"/>
          <w:lang w:eastAsia="en-GB"/>
          <w14:ligatures w14:val="standardContextual"/>
        </w:rPr>
      </w:pPr>
      <w:r>
        <w:t>9</w:t>
      </w:r>
      <w:r>
        <w:tab/>
        <w:t>Discrepancy and Dispute Management</w:t>
      </w:r>
      <w:r>
        <w:tab/>
      </w:r>
      <w:r>
        <w:fldChar w:fldCharType="begin"/>
      </w:r>
      <w:r>
        <w:instrText xml:space="preserve"> PAGEREF _Toc161049386 \h </w:instrText>
      </w:r>
      <w:r>
        <w:fldChar w:fldCharType="separate"/>
      </w:r>
      <w:r>
        <w:t>18</w:t>
      </w:r>
      <w:r>
        <w:fldChar w:fldCharType="end"/>
      </w:r>
    </w:p>
    <w:p w14:paraId="42A43D1E" w14:textId="168A93AE"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lastRenderedPageBreak/>
        <w:t>9.1</w:t>
      </w:r>
      <w:r>
        <w:tab/>
        <w:t>Introduction to Discrepancies and Disputes</w:t>
      </w:r>
      <w:r>
        <w:tab/>
      </w:r>
      <w:r>
        <w:fldChar w:fldCharType="begin"/>
      </w:r>
      <w:r>
        <w:instrText xml:space="preserve"> PAGEREF _Toc161049387 \h </w:instrText>
      </w:r>
      <w:r>
        <w:fldChar w:fldCharType="separate"/>
      </w:r>
      <w:r>
        <w:t>18</w:t>
      </w:r>
      <w:r>
        <w:fldChar w:fldCharType="end"/>
      </w:r>
    </w:p>
    <w:p w14:paraId="31C97A3F" w14:textId="7F2653EB"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9.2</w:t>
      </w:r>
      <w:r>
        <w:tab/>
        <w:t>Dispute Threshold</w:t>
      </w:r>
      <w:r>
        <w:tab/>
      </w:r>
      <w:r>
        <w:fldChar w:fldCharType="begin"/>
      </w:r>
      <w:r>
        <w:instrText xml:space="preserve"> PAGEREF _Toc161049388 \h </w:instrText>
      </w:r>
      <w:r>
        <w:fldChar w:fldCharType="separate"/>
      </w:r>
      <w:r>
        <w:t>19</w:t>
      </w:r>
      <w:r>
        <w:fldChar w:fldCharType="end"/>
      </w:r>
    </w:p>
    <w:p w14:paraId="19638E44" w14:textId="10FBEF7B"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9.3</w:t>
      </w:r>
      <w:r>
        <w:tab/>
        <w:t>Dispute Resolution</w:t>
      </w:r>
      <w:r>
        <w:tab/>
      </w:r>
      <w:r>
        <w:fldChar w:fldCharType="begin"/>
      </w:r>
      <w:r>
        <w:instrText xml:space="preserve"> PAGEREF _Toc161049389 \h </w:instrText>
      </w:r>
      <w:r>
        <w:fldChar w:fldCharType="separate"/>
      </w:r>
      <w:r>
        <w:t>19</w:t>
      </w:r>
      <w:r>
        <w:fldChar w:fldCharType="end"/>
      </w:r>
    </w:p>
    <w:p w14:paraId="1B559634" w14:textId="61F5E51E"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9.4</w:t>
      </w:r>
      <w:r>
        <w:tab/>
        <w:t>Finality</w:t>
      </w:r>
      <w:r>
        <w:tab/>
      </w:r>
      <w:r>
        <w:fldChar w:fldCharType="begin"/>
      </w:r>
      <w:r>
        <w:instrText xml:space="preserve"> PAGEREF _Toc161049390 \h </w:instrText>
      </w:r>
      <w:r>
        <w:fldChar w:fldCharType="separate"/>
      </w:r>
      <w:r>
        <w:t>20</w:t>
      </w:r>
      <w:r>
        <w:fldChar w:fldCharType="end"/>
      </w:r>
    </w:p>
    <w:p w14:paraId="3D701804" w14:textId="6C684478" w:rsidR="00403A45" w:rsidRDefault="00403A45" w:rsidP="00403A45">
      <w:pPr>
        <w:pStyle w:val="TOC1"/>
        <w:rPr>
          <w:rFonts w:asciiTheme="minorHAnsi" w:eastAsiaTheme="minorEastAsia" w:hAnsiTheme="minorHAnsi" w:cstheme="minorBidi"/>
          <w:kern w:val="2"/>
          <w:szCs w:val="22"/>
          <w:lang w:eastAsia="en-GB"/>
          <w14:ligatures w14:val="standardContextual"/>
        </w:rPr>
      </w:pPr>
      <w:r>
        <w:t>10</w:t>
      </w:r>
      <w:r>
        <w:tab/>
        <w:t>Settlement</w:t>
      </w:r>
      <w:r>
        <w:tab/>
      </w:r>
      <w:r>
        <w:fldChar w:fldCharType="begin"/>
      </w:r>
      <w:r>
        <w:instrText xml:space="preserve"> PAGEREF _Toc161049391 \h </w:instrText>
      </w:r>
      <w:r>
        <w:fldChar w:fldCharType="separate"/>
      </w:r>
      <w:r>
        <w:t>20</w:t>
      </w:r>
      <w:r>
        <w:fldChar w:fldCharType="end"/>
      </w:r>
    </w:p>
    <w:p w14:paraId="1056241A" w14:textId="56172102"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10.1</w:t>
      </w:r>
      <w:r>
        <w:tab/>
        <w:t>Definition of Settlement</w:t>
      </w:r>
      <w:r>
        <w:tab/>
      </w:r>
      <w:r>
        <w:fldChar w:fldCharType="begin"/>
      </w:r>
      <w:r>
        <w:instrText xml:space="preserve"> PAGEREF _Toc161049392 \h </w:instrText>
      </w:r>
      <w:r>
        <w:fldChar w:fldCharType="separate"/>
      </w:r>
      <w:r>
        <w:t>20</w:t>
      </w:r>
      <w:r>
        <w:fldChar w:fldCharType="end"/>
      </w:r>
    </w:p>
    <w:p w14:paraId="53B3BA55" w14:textId="7E2D5DF5"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10.2</w:t>
      </w:r>
      <w:r>
        <w:tab/>
        <w:t>Payment</w:t>
      </w:r>
      <w:r>
        <w:tab/>
      </w:r>
      <w:r>
        <w:fldChar w:fldCharType="begin"/>
      </w:r>
      <w:r>
        <w:instrText xml:space="preserve"> PAGEREF _Toc161049393 \h </w:instrText>
      </w:r>
      <w:r>
        <w:fldChar w:fldCharType="separate"/>
      </w:r>
      <w:r>
        <w:t>20</w:t>
      </w:r>
      <w:r>
        <w:fldChar w:fldCharType="end"/>
      </w:r>
    </w:p>
    <w:p w14:paraId="31003442" w14:textId="1E6B867C"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10.3</w:t>
      </w:r>
      <w:r>
        <w:tab/>
        <w:t>Netting</w:t>
      </w:r>
      <w:r>
        <w:tab/>
      </w:r>
      <w:r>
        <w:fldChar w:fldCharType="begin"/>
      </w:r>
      <w:r>
        <w:instrText xml:space="preserve"> PAGEREF _Toc161049394 \h </w:instrText>
      </w:r>
      <w:r>
        <w:fldChar w:fldCharType="separate"/>
      </w:r>
      <w:r>
        <w:t>20</w:t>
      </w:r>
      <w:r>
        <w:fldChar w:fldCharType="end"/>
      </w:r>
    </w:p>
    <w:p w14:paraId="6FE19899" w14:textId="50C480B1" w:rsidR="00403A45" w:rsidRDefault="00403A45" w:rsidP="00403A45">
      <w:pPr>
        <w:pStyle w:val="TOC2"/>
        <w:rPr>
          <w:rFonts w:asciiTheme="minorHAnsi" w:eastAsiaTheme="minorEastAsia" w:hAnsiTheme="minorHAnsi" w:cstheme="minorBidi"/>
          <w:kern w:val="2"/>
          <w:sz w:val="22"/>
          <w:szCs w:val="22"/>
          <w:lang w:eastAsia="en-GB"/>
          <w14:ligatures w14:val="standardContextual"/>
        </w:rPr>
      </w:pPr>
      <w:r>
        <w:t>10.4</w:t>
      </w:r>
      <w:r>
        <w:tab/>
        <w:t>Netting and Payment process diagram</w:t>
      </w:r>
      <w:r>
        <w:tab/>
      </w:r>
      <w:r>
        <w:fldChar w:fldCharType="begin"/>
      </w:r>
      <w:r>
        <w:instrText xml:space="preserve"> PAGEREF _Toc161049395 \h </w:instrText>
      </w:r>
      <w:r>
        <w:fldChar w:fldCharType="separate"/>
      </w:r>
      <w:r>
        <w:t>20</w:t>
      </w:r>
      <w:r>
        <w:fldChar w:fldCharType="end"/>
      </w:r>
    </w:p>
    <w:p w14:paraId="3CA81081" w14:textId="4312C547" w:rsidR="00403A45" w:rsidRDefault="00403A45" w:rsidP="00403A45">
      <w:pPr>
        <w:pStyle w:val="TOC8"/>
        <w:rPr>
          <w:rFonts w:asciiTheme="minorHAnsi" w:eastAsiaTheme="minorEastAsia" w:hAnsiTheme="minorHAnsi" w:cstheme="minorBidi"/>
          <w:kern w:val="2"/>
          <w:szCs w:val="22"/>
          <w:lang w:eastAsia="en-GB"/>
          <w14:ligatures w14:val="standardContextual"/>
        </w:rPr>
      </w:pPr>
      <w:r>
        <w:t>Annex A (informative):</w:t>
      </w:r>
      <w:r>
        <w:tab/>
        <w:t>Change history</w:t>
      </w:r>
      <w:r>
        <w:tab/>
      </w:r>
      <w:r>
        <w:fldChar w:fldCharType="begin"/>
      </w:r>
      <w:r>
        <w:instrText xml:space="preserve"> PAGEREF _Toc161049396 \h </w:instrText>
      </w:r>
      <w:r>
        <w:fldChar w:fldCharType="separate"/>
      </w:r>
      <w:r>
        <w:t>22</w:t>
      </w:r>
      <w:r>
        <w:fldChar w:fldCharType="end"/>
      </w:r>
    </w:p>
    <w:p w14:paraId="168E067F" w14:textId="52ACBD6D" w:rsidR="00403A45" w:rsidRDefault="00403A45" w:rsidP="00403A45">
      <w:pPr>
        <w:pStyle w:val="TOC1"/>
        <w:rPr>
          <w:rFonts w:asciiTheme="minorHAnsi" w:eastAsiaTheme="minorEastAsia" w:hAnsiTheme="minorHAnsi" w:cstheme="minorBidi"/>
          <w:kern w:val="2"/>
          <w:szCs w:val="22"/>
          <w:lang w:eastAsia="en-GB"/>
          <w14:ligatures w14:val="standardContextual"/>
        </w:rPr>
      </w:pPr>
      <w:r>
        <w:t>History</w:t>
      </w:r>
      <w:r>
        <w:tab/>
      </w:r>
      <w:r>
        <w:fldChar w:fldCharType="begin"/>
      </w:r>
      <w:r>
        <w:instrText xml:space="preserve"> PAGEREF _Toc161049397 \h </w:instrText>
      </w:r>
      <w:r>
        <w:fldChar w:fldCharType="separate"/>
      </w:r>
      <w:r>
        <w:t>23</w:t>
      </w:r>
      <w:r>
        <w:fldChar w:fldCharType="end"/>
      </w:r>
    </w:p>
    <w:p w14:paraId="47C21979" w14:textId="619C039C" w:rsidR="00914A5A" w:rsidRPr="00381329" w:rsidRDefault="00403A45">
      <w:r>
        <w:fldChar w:fldCharType="end"/>
      </w:r>
    </w:p>
    <w:p w14:paraId="7C582420" w14:textId="77777777" w:rsidR="00914A5A" w:rsidRPr="00381329" w:rsidRDefault="001B504E">
      <w:pPr>
        <w:spacing w:after="0"/>
        <w:ind w:left="-567"/>
        <w:rPr>
          <w:color w:val="000000" w:themeColor="text1"/>
        </w:rPr>
      </w:pPr>
      <w:r w:rsidRPr="00381329">
        <w:br w:type="page"/>
      </w:r>
    </w:p>
    <w:p w14:paraId="5C6ED26A" w14:textId="77777777" w:rsidR="00914A5A" w:rsidRPr="00381329" w:rsidRDefault="001B504E">
      <w:pPr>
        <w:pStyle w:val="Heading1"/>
      </w:pPr>
      <w:bookmarkStart w:id="7" w:name="_Toc160786969"/>
      <w:bookmarkStart w:id="8" w:name="_Toc161049337"/>
      <w:r w:rsidRPr="00381329">
        <w:lastRenderedPageBreak/>
        <w:t>Intellectual Property Rights</w:t>
      </w:r>
      <w:bookmarkEnd w:id="7"/>
      <w:bookmarkEnd w:id="8"/>
    </w:p>
    <w:p w14:paraId="7F10DF18" w14:textId="77777777" w:rsidR="00A130E4" w:rsidRPr="00381329" w:rsidRDefault="00A130E4" w:rsidP="00A130E4">
      <w:pPr>
        <w:pStyle w:val="H6"/>
      </w:pPr>
      <w:r w:rsidRPr="00381329">
        <w:t xml:space="preserve">Essential patents </w:t>
      </w:r>
    </w:p>
    <w:p w14:paraId="454BA357" w14:textId="77777777" w:rsidR="00A130E4" w:rsidRPr="00381329" w:rsidRDefault="00A130E4" w:rsidP="00A130E4">
      <w:bookmarkStart w:id="9" w:name="IPR_3GPP"/>
      <w:r w:rsidRPr="00381329">
        <w:t xml:space="preserve">IPRs essential or potentially essential to normative deliverables may have been declared to ETSI. The </w:t>
      </w:r>
      <w:bookmarkStart w:id="10" w:name="_Hlk67652472"/>
      <w:bookmarkStart w:id="11" w:name="_Hlk67652820"/>
      <w:r w:rsidRPr="00381329">
        <w:t>declarations</w:t>
      </w:r>
      <w:bookmarkEnd w:id="10"/>
      <w:r w:rsidRPr="00381329">
        <w:t xml:space="preserve"> </w:t>
      </w:r>
      <w:bookmarkEnd w:id="11"/>
      <w:r w:rsidRPr="00381329">
        <w:t xml:space="preserve">pertaining to these essential IPRs, if any, are publicly available for </w:t>
      </w:r>
      <w:r w:rsidRPr="00381329">
        <w:rPr>
          <w:b/>
          <w:bCs/>
        </w:rPr>
        <w:t>ETSI members and non-members</w:t>
      </w:r>
      <w:r w:rsidRPr="00381329">
        <w:t xml:space="preserve">, and can be found in ETSI SR 000 314: </w:t>
      </w:r>
      <w:r w:rsidRPr="00381329">
        <w:rPr>
          <w:i/>
          <w:iCs/>
        </w:rPr>
        <w:t>"Intellectual Property Rights (IPRs); Essential, or potentially Essential, IPRs notified to ETSI in respect of ETSI standards"</w:t>
      </w:r>
      <w:r w:rsidRPr="00381329">
        <w:t>, which is available from the ETSI Secretariat. Latest updates are available on the ETSI Web server (</w:t>
      </w:r>
      <w:hyperlink r:id="rId19" w:history="1">
        <w:r w:rsidRPr="00403A45">
          <w:rPr>
            <w:rStyle w:val="Hyperlink"/>
          </w:rPr>
          <w:t>https://ipr.etsi.org/</w:t>
        </w:r>
      </w:hyperlink>
      <w:r w:rsidRPr="00381329">
        <w:t>).</w:t>
      </w:r>
    </w:p>
    <w:p w14:paraId="01C611C2" w14:textId="77777777" w:rsidR="00A130E4" w:rsidRPr="00381329" w:rsidRDefault="00A130E4" w:rsidP="00A130E4">
      <w:r w:rsidRPr="00381329">
        <w:t xml:space="preserve">Pursuant to the ETSI </w:t>
      </w:r>
      <w:bookmarkStart w:id="12" w:name="_Hlk67652492"/>
      <w:r w:rsidRPr="00381329">
        <w:t xml:space="preserve">Directives including the ETSI </w:t>
      </w:r>
      <w:bookmarkEnd w:id="12"/>
      <w:r w:rsidRPr="00381329">
        <w:t xml:space="preserve">IPR Policy, no investigation </w:t>
      </w:r>
      <w:bookmarkStart w:id="13" w:name="_Hlk67652856"/>
      <w:r w:rsidRPr="00381329">
        <w:t>regarding the essentiality of IPRs</w:t>
      </w:r>
      <w:bookmarkEnd w:id="13"/>
      <w:r w:rsidRPr="00381329">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9"/>
    <w:p w14:paraId="26A3E817" w14:textId="77777777" w:rsidR="00A130E4" w:rsidRPr="00381329" w:rsidRDefault="00A130E4" w:rsidP="00A130E4">
      <w:pPr>
        <w:pStyle w:val="H6"/>
      </w:pPr>
      <w:r w:rsidRPr="00381329">
        <w:t>Trademarks</w:t>
      </w:r>
    </w:p>
    <w:p w14:paraId="790B7F10" w14:textId="77777777" w:rsidR="00A130E4" w:rsidRPr="00381329" w:rsidRDefault="00A130E4" w:rsidP="00A130E4">
      <w:r w:rsidRPr="00381329">
        <w:t xml:space="preserve">The present document may include trademarks and/or tradenames which are asserted and/or registered by their owners. ETSI claims no ownership of these except for any which are indicated as being the property of </w:t>
      </w:r>
      <w:proofErr w:type="gramStart"/>
      <w:r w:rsidRPr="00381329">
        <w:t>ETSI, and</w:t>
      </w:r>
      <w:proofErr w:type="gramEnd"/>
      <w:r w:rsidRPr="00381329">
        <w:t xml:space="preserve"> conveys no right to use or reproduce any trademark and/or tradename. Mention of those trademarks in the present document does not constitute an endorsement by ETSI of products, services or organizations associated with those trademarks.</w:t>
      </w:r>
    </w:p>
    <w:p w14:paraId="49168F4F" w14:textId="77777777" w:rsidR="00A130E4" w:rsidRPr="00381329" w:rsidRDefault="00A130E4" w:rsidP="00A130E4">
      <w:r w:rsidRPr="00381329">
        <w:rPr>
          <w:b/>
          <w:bCs/>
        </w:rPr>
        <w:t>DECT™</w:t>
      </w:r>
      <w:r w:rsidRPr="00381329">
        <w:t xml:space="preserve">, </w:t>
      </w:r>
      <w:r w:rsidRPr="00381329">
        <w:rPr>
          <w:b/>
          <w:bCs/>
        </w:rPr>
        <w:t>PLUGTESTS™</w:t>
      </w:r>
      <w:r w:rsidRPr="00381329">
        <w:t xml:space="preserve">, </w:t>
      </w:r>
      <w:r w:rsidRPr="00381329">
        <w:rPr>
          <w:b/>
          <w:bCs/>
        </w:rPr>
        <w:t>UMTS™</w:t>
      </w:r>
      <w:r w:rsidRPr="00381329">
        <w:t xml:space="preserve"> and the ETSI logo are trademarks of ETSI registered for the benefit of its </w:t>
      </w:r>
      <w:proofErr w:type="gramStart"/>
      <w:r w:rsidRPr="00381329">
        <w:t>Members</w:t>
      </w:r>
      <w:proofErr w:type="gramEnd"/>
      <w:r w:rsidRPr="00381329">
        <w:t xml:space="preserve">. </w:t>
      </w:r>
      <w:r w:rsidRPr="00381329">
        <w:rPr>
          <w:b/>
          <w:bCs/>
        </w:rPr>
        <w:t>3GPP™</w:t>
      </w:r>
      <w:r w:rsidRPr="00381329">
        <w:rPr>
          <w:vertAlign w:val="superscript"/>
        </w:rPr>
        <w:t xml:space="preserve"> </w:t>
      </w:r>
      <w:r w:rsidRPr="00381329">
        <w:t xml:space="preserve">and </w:t>
      </w:r>
      <w:r w:rsidRPr="00381329">
        <w:rPr>
          <w:b/>
          <w:bCs/>
        </w:rPr>
        <w:t>LTE™</w:t>
      </w:r>
      <w:r w:rsidRPr="00381329">
        <w:t xml:space="preserve"> are trademarks of ETSI registered for the benefit of its </w:t>
      </w:r>
      <w:proofErr w:type="gramStart"/>
      <w:r w:rsidRPr="00381329">
        <w:t>Members</w:t>
      </w:r>
      <w:proofErr w:type="gramEnd"/>
      <w:r w:rsidRPr="00381329">
        <w:t xml:space="preserve"> and of the 3GPP Organizational Partners. </w:t>
      </w:r>
      <w:r w:rsidRPr="00381329">
        <w:rPr>
          <w:b/>
          <w:bCs/>
        </w:rPr>
        <w:t>oneM2M™</w:t>
      </w:r>
      <w:r w:rsidRPr="00381329">
        <w:t xml:space="preserve"> logo is a trademark of ETSI registered for the benefit of its </w:t>
      </w:r>
      <w:proofErr w:type="gramStart"/>
      <w:r w:rsidRPr="00381329">
        <w:t>Members</w:t>
      </w:r>
      <w:proofErr w:type="gramEnd"/>
      <w:r w:rsidRPr="00381329">
        <w:t xml:space="preserve"> and of the oneM2M Partners. </w:t>
      </w:r>
      <w:r w:rsidRPr="00381329">
        <w:rPr>
          <w:b/>
          <w:bCs/>
        </w:rPr>
        <w:t>GSM</w:t>
      </w:r>
      <w:r w:rsidRPr="00381329">
        <w:rPr>
          <w:vertAlign w:val="superscript"/>
        </w:rPr>
        <w:t>®</w:t>
      </w:r>
      <w:r w:rsidRPr="00381329">
        <w:t xml:space="preserve"> and the GSM logo are trademarks registered and owned by the GSM Association.</w:t>
      </w:r>
    </w:p>
    <w:p w14:paraId="7224C84C" w14:textId="77777777" w:rsidR="00914A5A" w:rsidRPr="00381329" w:rsidRDefault="001B504E">
      <w:pPr>
        <w:pStyle w:val="Heading1"/>
      </w:pPr>
      <w:bookmarkStart w:id="14" w:name="_Toc160786970"/>
      <w:bookmarkStart w:id="15" w:name="_Toc161049338"/>
      <w:r w:rsidRPr="00381329">
        <w:t>Foreword</w:t>
      </w:r>
      <w:bookmarkEnd w:id="14"/>
      <w:bookmarkEnd w:id="15"/>
    </w:p>
    <w:p w14:paraId="79EF9C9D" w14:textId="77777777" w:rsidR="00A130E4" w:rsidRPr="00381329" w:rsidRDefault="00A130E4" w:rsidP="00A130E4">
      <w:r w:rsidRPr="00381329">
        <w:t>This Group Specification (</w:t>
      </w:r>
      <w:r w:rsidRPr="001D748C">
        <w:t>GS</w:t>
      </w:r>
      <w:r>
        <w:t xml:space="preserve">) has been produced by </w:t>
      </w:r>
      <w:r w:rsidRPr="001D748C">
        <w:t>ETSI</w:t>
      </w:r>
      <w:r>
        <w:t xml:space="preserve"> Industry Specification Group (</w:t>
      </w:r>
      <w:r w:rsidRPr="001D748C">
        <w:t>ISG</w:t>
      </w:r>
      <w:r>
        <w:t>) Permissioned Distributed Ledger (</w:t>
      </w:r>
      <w:r w:rsidRPr="001D748C">
        <w:t>PDL</w:t>
      </w:r>
      <w:r>
        <w:t>).</w:t>
      </w:r>
    </w:p>
    <w:p w14:paraId="57A34FBF" w14:textId="77777777" w:rsidR="00A130E4" w:rsidRPr="00381329" w:rsidRDefault="00A130E4" w:rsidP="00A130E4">
      <w:pPr>
        <w:pStyle w:val="Heading1"/>
      </w:pPr>
      <w:bookmarkStart w:id="16" w:name="_Toc481503921"/>
      <w:bookmarkStart w:id="17" w:name="_Toc487612123"/>
      <w:bookmarkStart w:id="18" w:name="_Toc525223404"/>
      <w:bookmarkStart w:id="19" w:name="_Toc525223854"/>
      <w:bookmarkStart w:id="20" w:name="_Toc527974963"/>
      <w:bookmarkStart w:id="21" w:name="_Toc527980450"/>
      <w:bookmarkStart w:id="22" w:name="_Toc534708585"/>
      <w:bookmarkStart w:id="23" w:name="_Toc534708660"/>
      <w:bookmarkStart w:id="24" w:name="_Toc130465663"/>
      <w:bookmarkStart w:id="25" w:name="_Toc151731099"/>
      <w:bookmarkStart w:id="26" w:name="_Toc160786971"/>
      <w:bookmarkStart w:id="27" w:name="_Toc161049339"/>
      <w:r w:rsidRPr="00381329">
        <w:t>Modal verbs terminology</w:t>
      </w:r>
      <w:bookmarkEnd w:id="16"/>
      <w:bookmarkEnd w:id="17"/>
      <w:bookmarkEnd w:id="18"/>
      <w:bookmarkEnd w:id="19"/>
      <w:bookmarkEnd w:id="20"/>
      <w:bookmarkEnd w:id="21"/>
      <w:bookmarkEnd w:id="22"/>
      <w:bookmarkEnd w:id="23"/>
      <w:bookmarkEnd w:id="24"/>
      <w:bookmarkEnd w:id="25"/>
      <w:bookmarkEnd w:id="26"/>
      <w:bookmarkEnd w:id="27"/>
    </w:p>
    <w:p w14:paraId="2F373AFD" w14:textId="06ADD2A8" w:rsidR="00A130E4" w:rsidRPr="00381329" w:rsidRDefault="00A130E4" w:rsidP="00A130E4">
      <w:r w:rsidRPr="00381329">
        <w:t>In the present document "</w:t>
      </w:r>
      <w:r w:rsidR="00381329">
        <w:rPr>
          <w:b/>
        </w:rPr>
        <w:t>shall</w:t>
      </w:r>
      <w:r w:rsidRPr="00381329">
        <w:t>", "</w:t>
      </w:r>
      <w:r w:rsidR="00381329">
        <w:rPr>
          <w:b/>
        </w:rPr>
        <w:t>shall</w:t>
      </w:r>
      <w:r w:rsidRPr="00381329">
        <w:rPr>
          <w:b/>
        </w:rPr>
        <w:t xml:space="preserve"> not</w:t>
      </w:r>
      <w:r w:rsidRPr="00381329">
        <w:t>", "</w:t>
      </w:r>
      <w:r w:rsidRPr="00381329">
        <w:rPr>
          <w:b/>
        </w:rPr>
        <w:t>should</w:t>
      </w:r>
      <w:r w:rsidRPr="00381329">
        <w:t>", "</w:t>
      </w:r>
      <w:r w:rsidRPr="00381329">
        <w:rPr>
          <w:b/>
        </w:rPr>
        <w:t>should not</w:t>
      </w:r>
      <w:r w:rsidRPr="00381329">
        <w:t>", "</w:t>
      </w:r>
      <w:r w:rsidRPr="00381329">
        <w:rPr>
          <w:b/>
        </w:rPr>
        <w:t>may</w:t>
      </w:r>
      <w:r w:rsidRPr="00381329">
        <w:t>", "</w:t>
      </w:r>
      <w:r w:rsidRPr="00381329">
        <w:rPr>
          <w:b/>
        </w:rPr>
        <w:t>need not</w:t>
      </w:r>
      <w:r w:rsidRPr="00381329">
        <w:t>", "</w:t>
      </w:r>
      <w:r w:rsidRPr="00381329">
        <w:rPr>
          <w:b/>
        </w:rPr>
        <w:t>will</w:t>
      </w:r>
      <w:r w:rsidRPr="00381329">
        <w:t>", "</w:t>
      </w:r>
      <w:r w:rsidRPr="00381329">
        <w:rPr>
          <w:b/>
        </w:rPr>
        <w:t>will not</w:t>
      </w:r>
      <w:r w:rsidRPr="00381329">
        <w:t>", "</w:t>
      </w:r>
      <w:r w:rsidRPr="00381329">
        <w:rPr>
          <w:b/>
        </w:rPr>
        <w:t>can</w:t>
      </w:r>
      <w:r w:rsidRPr="00381329">
        <w:t>" and "</w:t>
      </w:r>
      <w:r w:rsidRPr="00381329">
        <w:rPr>
          <w:b/>
        </w:rPr>
        <w:t>cannot</w:t>
      </w:r>
      <w:r w:rsidRPr="00381329">
        <w:t xml:space="preserve">" are to be interpreted as described in </w:t>
      </w:r>
      <w:r>
        <w:t xml:space="preserve">clause </w:t>
      </w:r>
      <w:r w:rsidRPr="001D748C">
        <w:t>3.2</w:t>
      </w:r>
      <w:r>
        <w:t xml:space="preserve"> of the </w:t>
      </w:r>
      <w:hyperlink r:id="rId20" w:history="1">
        <w:r w:rsidRPr="00403A45">
          <w:rPr>
            <w:rStyle w:val="Hyperlink"/>
          </w:rPr>
          <w:t>ETSI Drafting Rules</w:t>
        </w:r>
      </w:hyperlink>
      <w:r w:rsidRPr="00381329">
        <w:t xml:space="preserve"> (Verbal forms for the expression of provisions).</w:t>
      </w:r>
    </w:p>
    <w:p w14:paraId="74DEC543" w14:textId="1D625DBF" w:rsidR="00A130E4" w:rsidRPr="00381329" w:rsidRDefault="00A130E4" w:rsidP="00A130E4">
      <w:r w:rsidRPr="00381329">
        <w:t>"</w:t>
      </w:r>
      <w:r w:rsidR="00381329">
        <w:rPr>
          <w:b/>
        </w:rPr>
        <w:t>must</w:t>
      </w:r>
      <w:r w:rsidRPr="00381329">
        <w:t>" and "</w:t>
      </w:r>
      <w:r w:rsidR="00381329">
        <w:rPr>
          <w:b/>
        </w:rPr>
        <w:t>must</w:t>
      </w:r>
      <w:r w:rsidRPr="00381329">
        <w:rPr>
          <w:b/>
        </w:rPr>
        <w:t xml:space="preserve"> not</w:t>
      </w:r>
      <w:r w:rsidRPr="00381329">
        <w:t xml:space="preserve">" are </w:t>
      </w:r>
      <w:r w:rsidRPr="00381329">
        <w:rPr>
          <w:b/>
          <w:bCs/>
        </w:rPr>
        <w:t>NOT</w:t>
      </w:r>
      <w:r w:rsidRPr="00381329">
        <w:t xml:space="preserve"> allowed in </w:t>
      </w:r>
      <w:r w:rsidRPr="001D748C">
        <w:t>ETSI</w:t>
      </w:r>
      <w:r>
        <w:t xml:space="preserve"> deliverables except when used in direct citation.</w:t>
      </w:r>
    </w:p>
    <w:p w14:paraId="55E85D67" w14:textId="22E831FB" w:rsidR="00914A5A" w:rsidRPr="00381329" w:rsidRDefault="001B504E">
      <w:pPr>
        <w:pStyle w:val="Heading1"/>
      </w:pPr>
      <w:bookmarkStart w:id="28" w:name="_Toc160786972"/>
      <w:bookmarkStart w:id="29" w:name="_Toc161049340"/>
      <w:r w:rsidRPr="00381329">
        <w:t>Executive summary</w:t>
      </w:r>
      <w:bookmarkEnd w:id="28"/>
      <w:bookmarkEnd w:id="29"/>
    </w:p>
    <w:p w14:paraId="4E541926" w14:textId="4CFD6EB6" w:rsidR="00914A5A" w:rsidRPr="00381329" w:rsidRDefault="006F41AD">
      <w:r w:rsidRPr="00381329">
        <w:t xml:space="preserve">The application and use of </w:t>
      </w:r>
      <w:r w:rsidRPr="001D748C">
        <w:t>PDL</w:t>
      </w:r>
      <w:r>
        <w:t xml:space="preserve"> in settlement of usage-based services is discussed and analysed resulting in specifications, requirements and recommendations related to management of data sources, processes and actions related to commercial and commercial affecting attributes. The present </w:t>
      </w:r>
      <w:r w:rsidRPr="00381329">
        <w:t xml:space="preserve">document is broken down to three main parts: Data management, </w:t>
      </w:r>
      <w:r w:rsidRPr="001D748C">
        <w:t>PDL</w:t>
      </w:r>
      <w:r>
        <w:t xml:space="preserve"> node management and Settlement process, including Rating of usage records, discrepancy and dispute management and reconciliation, </w:t>
      </w:r>
      <w:r w:rsidR="00B415FD" w:rsidRPr="00381329">
        <w:t>invoicing,</w:t>
      </w:r>
      <w:r w:rsidRPr="00381329">
        <w:t xml:space="preserve"> and commercial settlement.</w:t>
      </w:r>
    </w:p>
    <w:p w14:paraId="0B55B3C1" w14:textId="77777777" w:rsidR="00914A5A" w:rsidRPr="00381329" w:rsidRDefault="001B504E" w:rsidP="007D56F8">
      <w:pPr>
        <w:pStyle w:val="Heading1"/>
      </w:pPr>
      <w:bookmarkStart w:id="30" w:name="_Toc160786973"/>
      <w:bookmarkStart w:id="31" w:name="_Toc161049341"/>
      <w:r w:rsidRPr="00381329">
        <w:lastRenderedPageBreak/>
        <w:t>Introduction</w:t>
      </w:r>
      <w:bookmarkEnd w:id="30"/>
      <w:bookmarkEnd w:id="31"/>
    </w:p>
    <w:p w14:paraId="6DF74EB2" w14:textId="52EE208A" w:rsidR="00866BB6" w:rsidRPr="00381329" w:rsidRDefault="00F61A98" w:rsidP="007D56F8">
      <w:pPr>
        <w:keepNext/>
        <w:keepLines/>
      </w:pPr>
      <w:r w:rsidRPr="00381329">
        <w:t>Usage-based services are consumed in a manner that can be measured</w:t>
      </w:r>
      <w:r w:rsidR="00B4021E" w:rsidRPr="00381329">
        <w:t xml:space="preserve"> by units of measurement such as time, distance, speed, volume, temperature, </w:t>
      </w:r>
      <w:r w:rsidR="00B415FD" w:rsidRPr="00381329">
        <w:t>pressure,</w:t>
      </w:r>
      <w:r w:rsidR="003531C0" w:rsidRPr="00381329">
        <w:t xml:space="preserve"> and many other measurable attributes. An example of a measurable service would be a telephone call where the duration, destination and quality of the call can all be measured (each with a certain degree of accuracy). </w:t>
      </w:r>
      <w:r w:rsidR="001E76BC" w:rsidRPr="00381329">
        <w:t xml:space="preserve">An in-depth discussion of measurable attributes related to the </w:t>
      </w:r>
      <w:r w:rsidRPr="001D748C">
        <w:t>ICT</w:t>
      </w:r>
      <w:r>
        <w:t xml:space="preserve"> sector can be found in </w:t>
      </w:r>
      <w:r w:rsidRPr="001D748C">
        <w:t>MEF</w:t>
      </w:r>
      <w:r>
        <w:t xml:space="preserve">-74 </w:t>
      </w:r>
      <w:r w:rsidR="00A42E54" w:rsidRPr="00381329">
        <w:rPr>
          <w:i/>
        </w:rPr>
        <w:t>"Commercial Affecting Attributes"</w:t>
      </w:r>
      <w:r w:rsidR="00403A45">
        <w:rPr>
          <w:i/>
        </w:rPr>
        <w:t xml:space="preserve"> </w:t>
      </w:r>
      <w:r w:rsidR="00403A45" w:rsidRPr="00403A45">
        <w:rPr>
          <w:iCs/>
        </w:rPr>
        <w:t>[</w:t>
      </w:r>
      <w:r w:rsidR="00403A45" w:rsidRPr="00403A45">
        <w:rPr>
          <w:iCs/>
        </w:rPr>
        <w:fldChar w:fldCharType="begin"/>
      </w:r>
      <w:r w:rsidR="00403A45" w:rsidRPr="00403A45">
        <w:rPr>
          <w:iCs/>
        </w:rPr>
        <w:instrText xml:space="preserve">REF REF_MEFFORUMMEF_74DECEMBER2018 \h  \* MERGEFORMAT </w:instrText>
      </w:r>
      <w:r w:rsidR="00403A45" w:rsidRPr="00403A45">
        <w:rPr>
          <w:iCs/>
        </w:rPr>
      </w:r>
      <w:r w:rsidR="00403A45" w:rsidRPr="00403A45">
        <w:rPr>
          <w:iCs/>
        </w:rPr>
        <w:fldChar w:fldCharType="separate"/>
      </w:r>
      <w:r w:rsidR="00403A45" w:rsidRPr="00403A45">
        <w:rPr>
          <w:iCs/>
        </w:rPr>
        <w:t>i.</w:t>
      </w:r>
      <w:r w:rsidR="00403A45" w:rsidRPr="00403A45">
        <w:rPr>
          <w:iCs/>
          <w:noProof/>
        </w:rPr>
        <w:t>1</w:t>
      </w:r>
      <w:r w:rsidR="00403A45" w:rsidRPr="00403A45">
        <w:rPr>
          <w:iCs/>
        </w:rPr>
        <w:fldChar w:fldCharType="end"/>
      </w:r>
      <w:r w:rsidR="00403A45" w:rsidRPr="00403A45">
        <w:rPr>
          <w:iCs/>
        </w:rPr>
        <w:t>]</w:t>
      </w:r>
      <w:r w:rsidR="001E76BC" w:rsidRPr="00403A45">
        <w:rPr>
          <w:iCs/>
        </w:rPr>
        <w:t>.</w:t>
      </w:r>
    </w:p>
    <w:p w14:paraId="4D8CA7E9" w14:textId="0C693B75" w:rsidR="00F61A98" w:rsidRPr="00381329" w:rsidRDefault="003531C0" w:rsidP="00A42E54">
      <w:pPr>
        <w:keepNext/>
        <w:keepLines/>
      </w:pPr>
      <w:r w:rsidRPr="00381329">
        <w:t xml:space="preserve">A commercial rate can be applied to a measurement of a service giving the measurement a commercial value. Taking the example of a telephone call: Suppose the agreed rate between a buyer and a seller of telephony service is </w:t>
      </w:r>
      <w:r w:rsidRPr="001D748C">
        <w:t>USD</w:t>
      </w:r>
      <w:r>
        <w:t xml:space="preserve"> </w:t>
      </w:r>
      <w:commentRangeStart w:id="32"/>
      <w:commentRangeStart w:id="33"/>
      <w:r>
        <w:t>0</w:t>
      </w:r>
      <w:r w:rsidR="005D277A">
        <w:t>,</w:t>
      </w:r>
      <w:r>
        <w:t xml:space="preserve">50 </w:t>
      </w:r>
      <w:commentRangeEnd w:id="32"/>
      <w:r w:rsidR="00BD593F">
        <w:rPr>
          <w:rStyle w:val="CommentReference"/>
        </w:rPr>
        <w:commentReference w:id="32"/>
      </w:r>
      <w:commentRangeEnd w:id="33"/>
      <w:r w:rsidR="005D277A">
        <w:rPr>
          <w:rStyle w:val="CommentReference"/>
        </w:rPr>
        <w:commentReference w:id="33"/>
      </w:r>
      <w:r>
        <w:t xml:space="preserve">per minute of call destined to the </w:t>
      </w:r>
      <w:r w:rsidRPr="001D748C">
        <w:t>USA</w:t>
      </w:r>
      <w:r>
        <w:t xml:space="preserve">, and the buyer places a call whose duration is measured to be three minutes, the </w:t>
      </w:r>
      <w:r w:rsidR="00B415FD" w:rsidRPr="00381329">
        <w:t>usage-based</w:t>
      </w:r>
      <w:r w:rsidRPr="00381329">
        <w:t xml:space="preserve"> fee for such call would be </w:t>
      </w:r>
      <w:r w:rsidRPr="001D748C">
        <w:t>USD</w:t>
      </w:r>
      <w:r>
        <w:t xml:space="preserve"> 1</w:t>
      </w:r>
      <w:r w:rsidR="005D277A">
        <w:t>,</w:t>
      </w:r>
      <w:r>
        <w:t>50.</w:t>
      </w:r>
    </w:p>
    <w:p w14:paraId="4DF05CF6" w14:textId="57C37D9E" w:rsidR="003531C0" w:rsidRPr="00381329" w:rsidRDefault="003531C0" w:rsidP="00A42E54">
      <w:r w:rsidRPr="00381329">
        <w:t>A similar logic can be applied to other services in most areas of life</w:t>
      </w:r>
      <w:r w:rsidR="00866BB6" w:rsidRPr="00381329">
        <w:t>:</w:t>
      </w:r>
    </w:p>
    <w:p w14:paraId="27F6E99E" w14:textId="5E024DFE" w:rsidR="00866BB6" w:rsidRPr="00381329" w:rsidRDefault="00866BB6" w:rsidP="00A42E54">
      <w:pPr>
        <w:pStyle w:val="B1"/>
      </w:pPr>
      <w:r w:rsidRPr="00381329">
        <w:t>Household water consumption and the municipal water supply service.</w:t>
      </w:r>
    </w:p>
    <w:p w14:paraId="6F432BEA" w14:textId="6DB333FA" w:rsidR="00866BB6" w:rsidRPr="00381329" w:rsidRDefault="00866BB6" w:rsidP="00A42E54">
      <w:pPr>
        <w:pStyle w:val="B1"/>
      </w:pPr>
      <w:r w:rsidRPr="00381329">
        <w:t>Agricultural produce and the wholesale/retail supply chain from the field to the consumer.</w:t>
      </w:r>
    </w:p>
    <w:p w14:paraId="4D77EC00" w14:textId="33DE0E36" w:rsidR="00866BB6" w:rsidRPr="00381329" w:rsidRDefault="00866BB6" w:rsidP="00A42E54">
      <w:pPr>
        <w:pStyle w:val="B1"/>
      </w:pPr>
      <w:r w:rsidRPr="00381329">
        <w:t>Data Centre computation and storage capacity and the users of such services.</w:t>
      </w:r>
    </w:p>
    <w:p w14:paraId="0EB313DF" w14:textId="428A1400" w:rsidR="00866BB6" w:rsidRPr="00381329" w:rsidRDefault="00866BB6" w:rsidP="00A42E54">
      <w:pPr>
        <w:pStyle w:val="B1"/>
      </w:pPr>
      <w:r w:rsidRPr="00381329">
        <w:t xml:space="preserve">Toll road usage, the toll road </w:t>
      </w:r>
      <w:proofErr w:type="gramStart"/>
      <w:r w:rsidRPr="00381329">
        <w:t>operators</w:t>
      </w:r>
      <w:proofErr w:type="gramEnd"/>
      <w:r w:rsidRPr="00381329">
        <w:t xml:space="preserve"> and the drivers of vehicles on such reads.</w:t>
      </w:r>
    </w:p>
    <w:p w14:paraId="098F588B" w14:textId="3E6C1F6A" w:rsidR="00866BB6" w:rsidRPr="00381329" w:rsidRDefault="00866BB6" w:rsidP="00A42E54">
      <w:pPr>
        <w:pStyle w:val="B1"/>
      </w:pPr>
      <w:r w:rsidRPr="00381329">
        <w:t>And many more.</w:t>
      </w:r>
    </w:p>
    <w:p w14:paraId="3E3B4C3E" w14:textId="711B5C9E" w:rsidR="00866BB6" w:rsidRPr="00381329" w:rsidRDefault="00866BB6" w:rsidP="00A42E54">
      <w:r w:rsidRPr="00381329">
        <w:t>Once a record of usage has been established it may go through commercial processes of</w:t>
      </w:r>
      <w:r w:rsidR="00A83F00" w:rsidRPr="00381329">
        <w:t>:</w:t>
      </w:r>
    </w:p>
    <w:p w14:paraId="4C9B06D4" w14:textId="4A5B6C77" w:rsidR="00A83F00" w:rsidRPr="00381329" w:rsidRDefault="00A83F00" w:rsidP="00A42E54">
      <w:pPr>
        <w:pStyle w:val="B1"/>
      </w:pPr>
      <w:r w:rsidRPr="00381329">
        <w:rPr>
          <w:b/>
          <w:bCs/>
        </w:rPr>
        <w:t>Rating</w:t>
      </w:r>
      <w:r w:rsidR="00F7717A" w:rsidRPr="00381329">
        <w:t xml:space="preserve"> (see </w:t>
      </w:r>
      <w:r w:rsidR="00381329" w:rsidRPr="00381329">
        <w:t>clause</w:t>
      </w:r>
      <w:r w:rsidR="00F7717A" w:rsidRPr="00381329">
        <w:t xml:space="preserve"> </w:t>
      </w:r>
      <w:r w:rsidR="00F7717A" w:rsidRPr="00381329">
        <w:fldChar w:fldCharType="begin"/>
      </w:r>
      <w:r w:rsidR="00F7717A" w:rsidRPr="00381329">
        <w:instrText xml:space="preserve"> REF _Ref158622403 \h  \* MERGEFORMAT </w:instrText>
      </w:r>
      <w:r w:rsidR="00F7717A" w:rsidRPr="00381329">
        <w:fldChar w:fldCharType="separate"/>
      </w:r>
      <w:r w:rsidR="00654C79" w:rsidRPr="00381329">
        <w:t>6</w:t>
      </w:r>
      <w:r w:rsidR="00654C79" w:rsidRPr="00381329">
        <w:tab/>
        <w:t>Rating</w:t>
      </w:r>
      <w:r w:rsidR="00F7717A" w:rsidRPr="00381329">
        <w:fldChar w:fldCharType="end"/>
      </w:r>
      <w:r w:rsidR="00F7717A" w:rsidRPr="00381329">
        <w:t xml:space="preserve"> herewith)</w:t>
      </w:r>
    </w:p>
    <w:p w14:paraId="7261DCF6" w14:textId="1A3D9437" w:rsidR="00A83F00" w:rsidRPr="00381329" w:rsidRDefault="00F7717A" w:rsidP="00A42E54">
      <w:pPr>
        <w:pStyle w:val="B1"/>
      </w:pPr>
      <w:r w:rsidRPr="00381329">
        <w:rPr>
          <w:b/>
          <w:bCs/>
        </w:rPr>
        <w:t>Dispute management and Reconciliation</w:t>
      </w:r>
      <w:r w:rsidRPr="00381329">
        <w:t xml:space="preserve"> (see </w:t>
      </w:r>
      <w:r w:rsidR="00381329" w:rsidRPr="00381329">
        <w:t>clauses</w:t>
      </w:r>
      <w:r w:rsidRPr="00381329">
        <w:t xml:space="preserve"> </w:t>
      </w:r>
      <w:r w:rsidRPr="00381329">
        <w:fldChar w:fldCharType="begin"/>
      </w:r>
      <w:r w:rsidRPr="00381329">
        <w:instrText xml:space="preserve"> REF _Ref158622455 \h  \* MERGEFORMAT </w:instrText>
      </w:r>
      <w:r w:rsidRPr="00381329">
        <w:fldChar w:fldCharType="separate"/>
      </w:r>
      <w:r w:rsidR="00654C79" w:rsidRPr="00381329">
        <w:t>7</w:t>
      </w:r>
      <w:r w:rsidR="00654C79" w:rsidRPr="00381329">
        <w:tab/>
      </w:r>
      <w:r w:rsidR="00654C79" w:rsidRPr="00BD593F">
        <w:t>Reconciliation</w:t>
      </w:r>
      <w:r w:rsidRPr="00381329">
        <w:fldChar w:fldCharType="end"/>
      </w:r>
      <w:r w:rsidRPr="00381329">
        <w:t xml:space="preserve"> and </w:t>
      </w:r>
      <w:r w:rsidRPr="00381329">
        <w:fldChar w:fldCharType="begin"/>
      </w:r>
      <w:r w:rsidRPr="00381329">
        <w:instrText xml:space="preserve"> REF _Ref157420072 \h  \* MERGEFORMAT </w:instrText>
      </w:r>
      <w:r w:rsidRPr="00381329">
        <w:fldChar w:fldCharType="separate"/>
      </w:r>
      <w:r w:rsidR="00654C79" w:rsidRPr="00381329">
        <w:t>9</w:t>
      </w:r>
      <w:r w:rsidR="00654C79" w:rsidRPr="00381329">
        <w:tab/>
        <w:t>Discrepancy and Dispute Management</w:t>
      </w:r>
      <w:r w:rsidRPr="00381329">
        <w:fldChar w:fldCharType="end"/>
      </w:r>
      <w:r w:rsidRPr="00381329">
        <w:t xml:space="preserve"> herewith)</w:t>
      </w:r>
    </w:p>
    <w:p w14:paraId="2F66C36D" w14:textId="7ABE75A8" w:rsidR="00A83F00" w:rsidRPr="00381329" w:rsidRDefault="00F7717A" w:rsidP="00A42E54">
      <w:pPr>
        <w:pStyle w:val="B1"/>
      </w:pPr>
      <w:r w:rsidRPr="00381329">
        <w:rPr>
          <w:b/>
          <w:bCs/>
        </w:rPr>
        <w:t>Invoicing</w:t>
      </w:r>
      <w:r w:rsidRPr="00381329">
        <w:t xml:space="preserve"> (see </w:t>
      </w:r>
      <w:r w:rsidR="00381329" w:rsidRPr="00381329">
        <w:t>clause</w:t>
      </w:r>
      <w:r w:rsidRPr="00381329">
        <w:t xml:space="preserve"> </w:t>
      </w:r>
      <w:r w:rsidRPr="00381329">
        <w:fldChar w:fldCharType="begin"/>
      </w:r>
      <w:r w:rsidRPr="00381329">
        <w:instrText xml:space="preserve"> REF _Ref158622526 \h  \* MERGEFORMAT </w:instrText>
      </w:r>
      <w:r w:rsidRPr="00381329">
        <w:fldChar w:fldCharType="separate"/>
      </w:r>
      <w:r w:rsidR="00654C79" w:rsidRPr="00381329">
        <w:t>8</w:t>
      </w:r>
      <w:r w:rsidR="00654C79" w:rsidRPr="00381329">
        <w:tab/>
        <w:t>Invoicing</w:t>
      </w:r>
      <w:r w:rsidRPr="00381329">
        <w:fldChar w:fldCharType="end"/>
      </w:r>
      <w:r w:rsidRPr="00381329">
        <w:t xml:space="preserve"> herewith)</w:t>
      </w:r>
    </w:p>
    <w:p w14:paraId="14640265" w14:textId="4D0F9203" w:rsidR="00A83F00" w:rsidRPr="00381329" w:rsidRDefault="00A83F00" w:rsidP="00A42E54">
      <w:pPr>
        <w:pStyle w:val="B1"/>
      </w:pPr>
      <w:r w:rsidRPr="00381329">
        <w:rPr>
          <w:b/>
          <w:bCs/>
        </w:rPr>
        <w:t>Settlement</w:t>
      </w:r>
      <w:r w:rsidR="00F7717A" w:rsidRPr="00381329">
        <w:t xml:space="preserve"> (see </w:t>
      </w:r>
      <w:r w:rsidR="00381329" w:rsidRPr="00381329">
        <w:t>clause</w:t>
      </w:r>
      <w:r w:rsidR="00F7717A" w:rsidRPr="00381329">
        <w:t xml:space="preserve"> </w:t>
      </w:r>
      <w:r w:rsidR="00F7717A" w:rsidRPr="00381329">
        <w:fldChar w:fldCharType="begin"/>
      </w:r>
      <w:r w:rsidR="00F7717A" w:rsidRPr="00381329">
        <w:instrText xml:space="preserve"> REF _Ref158622541 \h  \* MERGEFORMAT </w:instrText>
      </w:r>
      <w:r w:rsidR="00F7717A" w:rsidRPr="00381329">
        <w:fldChar w:fldCharType="separate"/>
      </w:r>
      <w:r w:rsidR="00654C79" w:rsidRPr="00381329">
        <w:t>10</w:t>
      </w:r>
      <w:r w:rsidR="00654C79" w:rsidRPr="00381329">
        <w:tab/>
        <w:t>Settlement</w:t>
      </w:r>
      <w:r w:rsidR="00F7717A" w:rsidRPr="00381329">
        <w:fldChar w:fldCharType="end"/>
      </w:r>
      <w:r w:rsidR="00F7717A" w:rsidRPr="00381329">
        <w:t xml:space="preserve"> herewith)</w:t>
      </w:r>
    </w:p>
    <w:p w14:paraId="263B60EE" w14:textId="77777777" w:rsidR="009A55D1" w:rsidRPr="00381329" w:rsidRDefault="009A55D1" w:rsidP="00A42E54">
      <w:r w:rsidRPr="00381329">
        <w:t xml:space="preserve">Usage-based services differ from other consumables in that the amount of use of such service is not known until it had been </w:t>
      </w:r>
      <w:proofErr w:type="gramStart"/>
      <w:r w:rsidRPr="00381329">
        <w:t>actually used</w:t>
      </w:r>
      <w:proofErr w:type="gramEnd"/>
      <w:r w:rsidRPr="00381329">
        <w:t>. This affects the way such services are billed for.</w:t>
      </w:r>
    </w:p>
    <w:p w14:paraId="0E0A52D7" w14:textId="12CB113E" w:rsidR="00B415FD" w:rsidRPr="00381329" w:rsidRDefault="009A55D1" w:rsidP="00A42E54">
      <w:r w:rsidRPr="00381329">
        <w:t>Payment for services may be performed in advance (when the service will only become available to the buyer after payment had been made) or in arrears (where payment is made after the service has been consumed)</w:t>
      </w:r>
      <w:r w:rsidR="00B415FD" w:rsidRPr="00381329">
        <w:t>.</w:t>
      </w:r>
      <w:r w:rsidR="00B415FD" w:rsidRPr="00381329">
        <w:br/>
        <w:t xml:space="preserve">Regular services, that are not usage based, would be billed the same amount whether they are billed in advance or in arrears (e.g. some bridge or tunnel tolls are charge upon entry ad some upon exist). Usage-based services, however, will be treated differently if they are charged in advance, where the buyer will buy some balance in advance and will be able to use such service until their balance depletes (e.g. a pre-paid calling card) or in arrears, where the buyer pays for whatever service was </w:t>
      </w:r>
      <w:r w:rsidR="001E76BC" w:rsidRPr="00381329">
        <w:t>consumed</w:t>
      </w:r>
      <w:r w:rsidR="00B415FD" w:rsidRPr="00381329">
        <w:t xml:space="preserve"> (e.g. a monthly telephone bill).</w:t>
      </w:r>
    </w:p>
    <w:p w14:paraId="0426C9AF" w14:textId="0C1CA1B7" w:rsidR="00B415FD" w:rsidRPr="00381329" w:rsidRDefault="00B415FD" w:rsidP="00A42E54">
      <w:r w:rsidRPr="00381329">
        <w:t xml:space="preserve">The present document discusses the application and use of </w:t>
      </w:r>
      <w:r w:rsidRPr="001D748C">
        <w:t>PDL</w:t>
      </w:r>
      <w:r>
        <w:t xml:space="preserve"> in settlement of usage-based services. It defines specifications, requirements and recommendations related to management of data sources, processes and actions related to commercial and commercial affecting attributes of such services. </w:t>
      </w:r>
    </w:p>
    <w:p w14:paraId="5FE7F98B" w14:textId="16706837" w:rsidR="00914A5A" w:rsidRPr="00381329" w:rsidRDefault="00B415FD" w:rsidP="00A42E54">
      <w:pPr>
        <w:rPr>
          <w:rFonts w:ascii="Arial" w:hAnsi="Arial"/>
          <w:sz w:val="36"/>
        </w:rPr>
      </w:pPr>
      <w:r w:rsidRPr="00381329">
        <w:t xml:space="preserve">The </w:t>
      </w:r>
      <w:r w:rsidR="00381329" w:rsidRPr="00381329">
        <w:t xml:space="preserve">present </w:t>
      </w:r>
      <w:r w:rsidRPr="00381329">
        <w:t xml:space="preserve">document is broken down to three main parts: Data management, </w:t>
      </w:r>
      <w:r w:rsidRPr="001D748C">
        <w:t>PDL</w:t>
      </w:r>
      <w:r>
        <w:t xml:space="preserve"> node management, and Settlement process, including Rating of usage records, discrepancy and dispute management and reconciliation, </w:t>
      </w:r>
      <w:proofErr w:type="gramStart"/>
      <w:r>
        <w:t>invoicing</w:t>
      </w:r>
      <w:proofErr w:type="gramEnd"/>
      <w:r>
        <w:t xml:space="preserve"> and commercial settlement.</w:t>
      </w:r>
      <w:r w:rsidR="001B504E" w:rsidRPr="00381329">
        <w:br w:type="page"/>
      </w:r>
    </w:p>
    <w:p w14:paraId="615D2A87" w14:textId="77777777" w:rsidR="00914A5A" w:rsidRPr="00381329" w:rsidRDefault="001B504E">
      <w:pPr>
        <w:pStyle w:val="Heading1"/>
      </w:pPr>
      <w:bookmarkStart w:id="34" w:name="_Toc160786974"/>
      <w:bookmarkStart w:id="35" w:name="_Toc161049342"/>
      <w:r w:rsidRPr="00381329">
        <w:lastRenderedPageBreak/>
        <w:t>1</w:t>
      </w:r>
      <w:r w:rsidRPr="00381329">
        <w:tab/>
        <w:t>Scope</w:t>
      </w:r>
      <w:bookmarkEnd w:id="34"/>
      <w:bookmarkEnd w:id="35"/>
    </w:p>
    <w:p w14:paraId="7EA54E65" w14:textId="4870DA15" w:rsidR="00B4021E" w:rsidRPr="00381329" w:rsidRDefault="00B4021E" w:rsidP="00B4021E">
      <w:pPr>
        <w:pStyle w:val="Heading2"/>
      </w:pPr>
      <w:bookmarkStart w:id="36" w:name="_Toc160786975"/>
      <w:bookmarkStart w:id="37" w:name="_Toc161049343"/>
      <w:r w:rsidRPr="00381329">
        <w:t>1.1</w:t>
      </w:r>
      <w:r w:rsidR="00A42E54" w:rsidRPr="00381329">
        <w:tab/>
      </w:r>
      <w:r w:rsidRPr="00381329">
        <w:t>Introduction</w:t>
      </w:r>
      <w:bookmarkEnd w:id="36"/>
      <w:bookmarkEnd w:id="37"/>
    </w:p>
    <w:p w14:paraId="4E355F80" w14:textId="2FF0A6D9" w:rsidR="00914A5A" w:rsidRPr="00381329" w:rsidRDefault="001B504E">
      <w:r w:rsidRPr="00381329">
        <w:t xml:space="preserve">The present document </w:t>
      </w:r>
      <w:r w:rsidR="006F41AD" w:rsidRPr="00381329">
        <w:t xml:space="preserve">discusses </w:t>
      </w:r>
      <w:r w:rsidR="00F61A98" w:rsidRPr="00381329">
        <w:t xml:space="preserve">and specifies the processes and methods of utilizing </w:t>
      </w:r>
      <w:r w:rsidRPr="001D748C">
        <w:t>PDL</w:t>
      </w:r>
      <w:r>
        <w:t xml:space="preserve"> in settlement of </w:t>
      </w:r>
      <w:proofErr w:type="gramStart"/>
      <w:r>
        <w:t>usage based</w:t>
      </w:r>
      <w:proofErr w:type="gramEnd"/>
      <w:r>
        <w:t xml:space="preserve"> services.</w:t>
      </w:r>
    </w:p>
    <w:p w14:paraId="1188E420" w14:textId="214BF0E1" w:rsidR="00F61A98" w:rsidRPr="00381329" w:rsidRDefault="00B4021E" w:rsidP="00B4021E">
      <w:pPr>
        <w:pStyle w:val="Heading2"/>
      </w:pPr>
      <w:bookmarkStart w:id="38" w:name="_Toc160786976"/>
      <w:bookmarkStart w:id="39" w:name="_Toc161049344"/>
      <w:r w:rsidRPr="00381329">
        <w:t>1.2</w:t>
      </w:r>
      <w:r w:rsidRPr="00381329">
        <w:tab/>
      </w:r>
      <w:r w:rsidR="00F61A98" w:rsidRPr="00381329">
        <w:t>In scope</w:t>
      </w:r>
      <w:bookmarkEnd w:id="38"/>
      <w:bookmarkEnd w:id="39"/>
      <w:r w:rsidRPr="00381329">
        <w:t xml:space="preserve"> </w:t>
      </w:r>
    </w:p>
    <w:p w14:paraId="3ECA39C5" w14:textId="77777777" w:rsidR="00F61A98" w:rsidRPr="00381329" w:rsidRDefault="00F61A98" w:rsidP="00A42E54">
      <w:pPr>
        <w:pStyle w:val="BL"/>
      </w:pPr>
      <w:r w:rsidRPr="00381329">
        <w:t>Definitions of processes.</w:t>
      </w:r>
    </w:p>
    <w:p w14:paraId="251FBD21" w14:textId="77777777" w:rsidR="00F61A98" w:rsidRPr="00381329" w:rsidRDefault="00F61A98" w:rsidP="00A42E54">
      <w:pPr>
        <w:pStyle w:val="BL"/>
      </w:pPr>
      <w:r w:rsidRPr="00381329">
        <w:t xml:space="preserve">Definitions and requirements related to </w:t>
      </w:r>
      <w:r w:rsidRPr="001D748C">
        <w:t>PDL</w:t>
      </w:r>
      <w:r>
        <w:t xml:space="preserve"> node management.</w:t>
      </w:r>
    </w:p>
    <w:p w14:paraId="03062109" w14:textId="77777777" w:rsidR="00F61A98" w:rsidRPr="00381329" w:rsidRDefault="00F61A98" w:rsidP="00A42E54">
      <w:pPr>
        <w:pStyle w:val="BL"/>
      </w:pPr>
      <w:r w:rsidRPr="00381329">
        <w:t>Definitions of commercial and data management terms and operational methods.</w:t>
      </w:r>
    </w:p>
    <w:p w14:paraId="16806F9C" w14:textId="6130D7B4" w:rsidR="00F61A98" w:rsidRPr="00381329" w:rsidRDefault="00F61A98" w:rsidP="00A42E54">
      <w:pPr>
        <w:pStyle w:val="BL"/>
      </w:pPr>
      <w:r w:rsidRPr="00381329">
        <w:t>Definitions and specifications of dispute resolution stages and processes.</w:t>
      </w:r>
    </w:p>
    <w:p w14:paraId="5CD73CD3" w14:textId="06542E73" w:rsidR="00F61A98" w:rsidRPr="00381329" w:rsidRDefault="00B4021E" w:rsidP="00A42E54">
      <w:pPr>
        <w:pStyle w:val="Heading2"/>
      </w:pPr>
      <w:bookmarkStart w:id="40" w:name="_Toc160786977"/>
      <w:bookmarkStart w:id="41" w:name="_Toc161049345"/>
      <w:r w:rsidRPr="00381329">
        <w:t>1.3</w:t>
      </w:r>
      <w:r w:rsidRPr="00381329">
        <w:tab/>
      </w:r>
      <w:r w:rsidR="00F61A98" w:rsidRPr="00381329">
        <w:t>Out of scope</w:t>
      </w:r>
      <w:bookmarkEnd w:id="40"/>
      <w:bookmarkEnd w:id="41"/>
    </w:p>
    <w:p w14:paraId="6904C367" w14:textId="4094DC93" w:rsidR="00F61A98" w:rsidRPr="00381329" w:rsidRDefault="00F61A98" w:rsidP="00A42E54">
      <w:pPr>
        <w:pStyle w:val="BL"/>
        <w:numPr>
          <w:ilvl w:val="0"/>
          <w:numId w:val="18"/>
        </w:numPr>
      </w:pPr>
      <w:r w:rsidRPr="00381329">
        <w:t>Specific reconciliation and dispute resolution algorithms.</w:t>
      </w:r>
    </w:p>
    <w:p w14:paraId="2FAF5FAB" w14:textId="35CD8C2E" w:rsidR="00F61A98" w:rsidRPr="00381329" w:rsidRDefault="00F61A98" w:rsidP="00A42E54">
      <w:pPr>
        <w:pStyle w:val="BL"/>
        <w:numPr>
          <w:ilvl w:val="0"/>
          <w:numId w:val="18"/>
        </w:numPr>
      </w:pPr>
      <w:r w:rsidRPr="00381329">
        <w:t>Commercial agreements.</w:t>
      </w:r>
    </w:p>
    <w:p w14:paraId="24E0ECE8" w14:textId="2F1E07DC" w:rsidR="00F61A98" w:rsidRPr="00381329" w:rsidRDefault="00F61A98" w:rsidP="00A42E54">
      <w:pPr>
        <w:pStyle w:val="BL"/>
        <w:numPr>
          <w:ilvl w:val="0"/>
          <w:numId w:val="18"/>
        </w:numPr>
      </w:pPr>
      <w:r w:rsidRPr="00381329">
        <w:t>Commercial data.</w:t>
      </w:r>
    </w:p>
    <w:p w14:paraId="709D7EE6" w14:textId="77777777" w:rsidR="00914A5A" w:rsidRPr="00381329" w:rsidRDefault="001B504E">
      <w:pPr>
        <w:pStyle w:val="Heading1"/>
      </w:pPr>
      <w:bookmarkStart w:id="42" w:name="_Toc160786978"/>
      <w:bookmarkStart w:id="43" w:name="_Toc161049346"/>
      <w:r w:rsidRPr="00381329">
        <w:t>2</w:t>
      </w:r>
      <w:r w:rsidRPr="00381329">
        <w:tab/>
        <w:t>References</w:t>
      </w:r>
      <w:bookmarkEnd w:id="42"/>
      <w:bookmarkEnd w:id="43"/>
    </w:p>
    <w:p w14:paraId="651A2FBE" w14:textId="77777777" w:rsidR="00914A5A" w:rsidRPr="00381329" w:rsidRDefault="001B504E">
      <w:pPr>
        <w:pStyle w:val="Heading2"/>
      </w:pPr>
      <w:bookmarkStart w:id="44" w:name="_Toc160786979"/>
      <w:bookmarkStart w:id="45" w:name="_Toc161049347"/>
      <w:r w:rsidRPr="00381329">
        <w:t>2.1</w:t>
      </w:r>
      <w:r w:rsidRPr="00381329">
        <w:tab/>
        <w:t>Normative references</w:t>
      </w:r>
      <w:bookmarkEnd w:id="44"/>
      <w:bookmarkEnd w:id="45"/>
    </w:p>
    <w:p w14:paraId="38A68555" w14:textId="77777777" w:rsidR="00914A5A" w:rsidRPr="00381329" w:rsidRDefault="001B504E">
      <w:r w:rsidRPr="00381329">
        <w:t>References are either specific (identified by date of publication and/or edition number or version number) or non</w:t>
      </w:r>
      <w:r w:rsidRPr="00381329">
        <w:noBreakHyphen/>
        <w:t>specific. For specific references, only the cited version applies. For non-specific references, the latest version of the referenced document (including any amendments) applies.</w:t>
      </w:r>
    </w:p>
    <w:p w14:paraId="6755EAA3" w14:textId="77777777" w:rsidR="00914A5A" w:rsidRPr="00381329" w:rsidRDefault="001B504E">
      <w:r w:rsidRPr="00381329">
        <w:t xml:space="preserve">Referenced documents which are not found to be publicly available in the expected location might be found at </w:t>
      </w:r>
      <w:hyperlink r:id="rId21" w:history="1">
        <w:r w:rsidRPr="00403A45">
          <w:rPr>
            <w:rStyle w:val="Hyperlink"/>
          </w:rPr>
          <w:t>https://docbox.etsi.org/Reference</w:t>
        </w:r>
      </w:hyperlink>
      <w:r w:rsidRPr="00381329">
        <w:t>.</w:t>
      </w:r>
    </w:p>
    <w:p w14:paraId="66176A78" w14:textId="77777777" w:rsidR="00914A5A" w:rsidRPr="00381329" w:rsidRDefault="001B504E">
      <w:pPr>
        <w:pStyle w:val="NO"/>
      </w:pPr>
      <w:r w:rsidRPr="00381329">
        <w:t>NOTE:</w:t>
      </w:r>
      <w:r w:rsidRPr="00381329">
        <w:tab/>
        <w:t xml:space="preserve">While any hyperlinks included in this clause were valid at the time of publication, ETSI cannot guarantee their </w:t>
      </w:r>
      <w:proofErr w:type="gramStart"/>
      <w:r w:rsidRPr="00381329">
        <w:t>long term</w:t>
      </w:r>
      <w:proofErr w:type="gramEnd"/>
      <w:r w:rsidRPr="00381329">
        <w:t xml:space="preserve"> validity.</w:t>
      </w:r>
    </w:p>
    <w:p w14:paraId="2B5C7614" w14:textId="77777777" w:rsidR="00914A5A" w:rsidRPr="00381329" w:rsidRDefault="001B504E">
      <w:pPr>
        <w:rPr>
          <w:lang w:eastAsia="en-GB"/>
        </w:rPr>
      </w:pPr>
      <w:r w:rsidRPr="00381329">
        <w:rPr>
          <w:lang w:eastAsia="en-GB"/>
        </w:rPr>
        <w:t>The following referenced documents are necessary for the application of the present document.</w:t>
      </w:r>
    </w:p>
    <w:p w14:paraId="2332534F" w14:textId="74733D22" w:rsidR="00914A5A" w:rsidRPr="00381329" w:rsidRDefault="00885651" w:rsidP="00A42E54">
      <w:r w:rsidRPr="00381329">
        <w:t>V</w:t>
      </w:r>
      <w:r w:rsidR="00E7242A" w:rsidRPr="00381329">
        <w:t>oid</w:t>
      </w:r>
      <w:r w:rsidR="00A42E54" w:rsidRPr="00381329">
        <w:t>.</w:t>
      </w:r>
    </w:p>
    <w:p w14:paraId="5CB2CBB3" w14:textId="77777777" w:rsidR="00914A5A" w:rsidRPr="00381329" w:rsidRDefault="001B504E">
      <w:pPr>
        <w:pStyle w:val="Heading2"/>
      </w:pPr>
      <w:bookmarkStart w:id="46" w:name="_Toc160786980"/>
      <w:bookmarkStart w:id="47" w:name="_Toc161049348"/>
      <w:r w:rsidRPr="00381329">
        <w:t>2.2</w:t>
      </w:r>
      <w:r w:rsidRPr="00381329">
        <w:tab/>
        <w:t>Informative references</w:t>
      </w:r>
      <w:bookmarkEnd w:id="46"/>
      <w:bookmarkEnd w:id="47"/>
    </w:p>
    <w:p w14:paraId="523D6F3D" w14:textId="77777777" w:rsidR="00914A5A" w:rsidRPr="00381329" w:rsidRDefault="001B504E">
      <w:r w:rsidRPr="00381329">
        <w:t>References are either specific (identified by date of publication and/or edition number or version number) or non</w:t>
      </w:r>
      <w:r w:rsidRPr="00381329">
        <w:noBreakHyphen/>
        <w:t>specific. For specific references, only the cited version applies. For non-specific references, the latest version of the referenced document (including any amendments) applies.</w:t>
      </w:r>
    </w:p>
    <w:p w14:paraId="19E14F81" w14:textId="77777777" w:rsidR="00914A5A" w:rsidRPr="00381329" w:rsidRDefault="001B504E">
      <w:pPr>
        <w:pStyle w:val="NO"/>
      </w:pPr>
      <w:r w:rsidRPr="00381329">
        <w:t>NOTE:</w:t>
      </w:r>
      <w:r w:rsidRPr="00381329">
        <w:tab/>
        <w:t xml:space="preserve">While any hyperlinks included in this clause were valid at the time of publication, ETSI cannot guarantee their </w:t>
      </w:r>
      <w:proofErr w:type="gramStart"/>
      <w:r w:rsidRPr="00381329">
        <w:t>long term</w:t>
      </w:r>
      <w:proofErr w:type="gramEnd"/>
      <w:r w:rsidRPr="00381329">
        <w:t xml:space="preserve"> validity.</w:t>
      </w:r>
    </w:p>
    <w:p w14:paraId="73B3C141" w14:textId="77777777" w:rsidR="00914A5A" w:rsidRPr="00381329" w:rsidRDefault="001B504E">
      <w:pPr>
        <w:keepNext/>
      </w:pPr>
      <w:r w:rsidRPr="00381329">
        <w:rPr>
          <w:lang w:eastAsia="en-GB"/>
        </w:rPr>
        <w:t xml:space="preserve">The following referenced documents are </w:t>
      </w:r>
      <w:r w:rsidRPr="00381329">
        <w:t xml:space="preserve">not necessary for the application of the present </w:t>
      </w:r>
      <w:proofErr w:type="gramStart"/>
      <w:r w:rsidRPr="00381329">
        <w:t>document</w:t>
      </w:r>
      <w:proofErr w:type="gramEnd"/>
      <w:r w:rsidRPr="00381329">
        <w:t xml:space="preserve"> but they assist the user with regard to a particular subject area.</w:t>
      </w:r>
    </w:p>
    <w:p w14:paraId="5A654ADC" w14:textId="6DDA8EEF" w:rsidR="006E6F23" w:rsidRPr="00381329" w:rsidRDefault="00403A45" w:rsidP="00403A45">
      <w:pPr>
        <w:pStyle w:val="EX"/>
        <w:rPr>
          <w:rFonts w:ascii="Wingdings 3" w:hAnsi="Wingdings 3"/>
        </w:rPr>
      </w:pPr>
      <w:r>
        <w:t>[</w:t>
      </w:r>
      <w:bookmarkStart w:id="48" w:name="REF_MEFFORUMMEF_74DECEMBER2018"/>
      <w:r>
        <w:t>i.</w:t>
      </w:r>
      <w:r>
        <w:fldChar w:fldCharType="begin"/>
      </w:r>
      <w:r>
        <w:instrText>SEQ REFI</w:instrText>
      </w:r>
      <w:r>
        <w:fldChar w:fldCharType="separate"/>
      </w:r>
      <w:r>
        <w:rPr>
          <w:noProof/>
        </w:rPr>
        <w:t>1</w:t>
      </w:r>
      <w:r>
        <w:fldChar w:fldCharType="end"/>
      </w:r>
      <w:bookmarkEnd w:id="48"/>
      <w:r>
        <w:t>]</w:t>
      </w:r>
      <w:r>
        <w:tab/>
      </w:r>
      <w:r w:rsidRPr="00403A45">
        <w:t>MEF Forum, MEF-74, December 2018:</w:t>
      </w:r>
      <w:r>
        <w:t xml:space="preserve"> "Commercial Affecting attributes".</w:t>
      </w:r>
    </w:p>
    <w:p w14:paraId="5FE58C9E" w14:textId="7F1AA50C" w:rsidR="00914A5A" w:rsidRPr="00381329" w:rsidRDefault="00403A45" w:rsidP="00403A45">
      <w:pPr>
        <w:pStyle w:val="EX"/>
      </w:pPr>
      <w:r>
        <w:lastRenderedPageBreak/>
        <w:t>[</w:t>
      </w:r>
      <w:bookmarkStart w:id="49" w:name="REF_PDL012V121JUNE2023"/>
      <w:r>
        <w:t>i.</w:t>
      </w:r>
      <w:r>
        <w:fldChar w:fldCharType="begin"/>
      </w:r>
      <w:r>
        <w:instrText>SEQ REFI</w:instrText>
      </w:r>
      <w:r>
        <w:fldChar w:fldCharType="separate"/>
      </w:r>
      <w:r>
        <w:rPr>
          <w:noProof/>
        </w:rPr>
        <w:t>2</w:t>
      </w:r>
      <w:r>
        <w:fldChar w:fldCharType="end"/>
      </w:r>
      <w:bookmarkEnd w:id="49"/>
      <w:r>
        <w:t>]</w:t>
      </w:r>
      <w:r>
        <w:tab/>
      </w:r>
      <w:r w:rsidRPr="00403A45">
        <w:t>ETSI GS PDL 012 (V.1.2.1)</w:t>
      </w:r>
      <w:r>
        <w:t>: "PDL Reference Architecture".</w:t>
      </w:r>
    </w:p>
    <w:p w14:paraId="28B49E32" w14:textId="26999CCA" w:rsidR="00930E85" w:rsidRPr="00381329" w:rsidRDefault="00403A45" w:rsidP="00403A45">
      <w:pPr>
        <w:pStyle w:val="EX"/>
      </w:pPr>
      <w:r>
        <w:t>[</w:t>
      </w:r>
      <w:bookmarkStart w:id="50" w:name="REF_PDL022V111APRIL2024"/>
      <w:r>
        <w:t>i.</w:t>
      </w:r>
      <w:r>
        <w:fldChar w:fldCharType="begin"/>
      </w:r>
      <w:r>
        <w:instrText>SEQ REFI</w:instrText>
      </w:r>
      <w:r>
        <w:fldChar w:fldCharType="separate"/>
      </w:r>
      <w:r>
        <w:rPr>
          <w:noProof/>
        </w:rPr>
        <w:t>3</w:t>
      </w:r>
      <w:r>
        <w:fldChar w:fldCharType="end"/>
      </w:r>
      <w:bookmarkEnd w:id="50"/>
      <w:r>
        <w:t>]</w:t>
      </w:r>
      <w:r>
        <w:tab/>
      </w:r>
      <w:r w:rsidRPr="00403A45">
        <w:t>ETSI GS PDL 022 (V.1.1.1)</w:t>
      </w:r>
      <w:r>
        <w:t>: "PDL in Supply Chains".</w:t>
      </w:r>
    </w:p>
    <w:p w14:paraId="04507C31" w14:textId="77777777" w:rsidR="00914A5A" w:rsidRPr="00381329" w:rsidRDefault="001B504E">
      <w:pPr>
        <w:pStyle w:val="Heading1"/>
      </w:pPr>
      <w:bookmarkStart w:id="51" w:name="_Toc160786981"/>
      <w:bookmarkStart w:id="52" w:name="_Toc161049349"/>
      <w:r w:rsidRPr="00381329">
        <w:t>3</w:t>
      </w:r>
      <w:r w:rsidRPr="00381329">
        <w:tab/>
        <w:t xml:space="preserve">Definition of terms, </w:t>
      </w:r>
      <w:proofErr w:type="gramStart"/>
      <w:r w:rsidRPr="00381329">
        <w:t>symbols</w:t>
      </w:r>
      <w:proofErr w:type="gramEnd"/>
      <w:r w:rsidRPr="00381329">
        <w:t xml:space="preserve"> and abbreviations</w:t>
      </w:r>
      <w:bookmarkEnd w:id="51"/>
      <w:bookmarkEnd w:id="52"/>
    </w:p>
    <w:p w14:paraId="1EB921C5" w14:textId="77777777" w:rsidR="00914A5A" w:rsidRPr="00381329" w:rsidRDefault="001B504E">
      <w:pPr>
        <w:pStyle w:val="Heading2"/>
      </w:pPr>
      <w:bookmarkStart w:id="53" w:name="_Toc160786982"/>
      <w:bookmarkStart w:id="54" w:name="_Toc161049350"/>
      <w:r w:rsidRPr="00381329">
        <w:t>3.1</w:t>
      </w:r>
      <w:r w:rsidRPr="00381329">
        <w:tab/>
        <w:t>Terms</w:t>
      </w:r>
      <w:bookmarkEnd w:id="53"/>
      <w:bookmarkEnd w:id="54"/>
    </w:p>
    <w:p w14:paraId="13BF6213" w14:textId="77777777" w:rsidR="00B4021E" w:rsidRPr="00381329" w:rsidRDefault="00B4021E" w:rsidP="00B4021E">
      <w:r w:rsidRPr="00381329">
        <w:t>For the purposes of the present document, the following terms apply:</w:t>
      </w:r>
    </w:p>
    <w:p w14:paraId="0C897623" w14:textId="77777777" w:rsidR="00B4021E" w:rsidRPr="00381329" w:rsidRDefault="00B4021E" w:rsidP="00B4021E">
      <w:pPr>
        <w:keepNext/>
        <w:keepLines/>
        <w:rPr>
          <w:color w:val="000000" w:themeColor="text1"/>
        </w:rPr>
      </w:pPr>
      <w:bookmarkStart w:id="55" w:name="RANGE!A1"/>
      <w:r w:rsidRPr="00381329">
        <w:rPr>
          <w:b/>
          <w:bCs/>
        </w:rPr>
        <w:t>billing:</w:t>
      </w:r>
      <w:r w:rsidRPr="00381329">
        <w:rPr>
          <w:color w:val="000000" w:themeColor="text1"/>
        </w:rPr>
        <w:t xml:space="preserve"> commercial process of invoicing, reconciliation, and settlement of amounts due by Buyer, </w:t>
      </w:r>
      <w:proofErr w:type="gramStart"/>
      <w:r w:rsidRPr="00381329">
        <w:rPr>
          <w:color w:val="000000" w:themeColor="text1"/>
        </w:rPr>
        <w:t>Seller</w:t>
      </w:r>
      <w:proofErr w:type="gramEnd"/>
      <w:r w:rsidRPr="00381329">
        <w:rPr>
          <w:color w:val="000000" w:themeColor="text1"/>
        </w:rPr>
        <w:t xml:space="preserve"> or bidirectional trading partners</w:t>
      </w:r>
    </w:p>
    <w:p w14:paraId="1085CA0D" w14:textId="4650BC1E" w:rsidR="00B4021E" w:rsidRPr="00381329" w:rsidRDefault="00B4021E" w:rsidP="00B4021E">
      <w:pPr>
        <w:pStyle w:val="NO"/>
        <w:keepNext/>
      </w:pPr>
      <w:r w:rsidRPr="00381329">
        <w:rPr>
          <w:color w:val="000000" w:themeColor="text1"/>
        </w:rPr>
        <w:t>NOTE:</w:t>
      </w:r>
      <w:r w:rsidRPr="00381329">
        <w:rPr>
          <w:color w:val="000000" w:themeColor="text1"/>
        </w:rPr>
        <w:tab/>
        <w:t xml:space="preserve">See </w:t>
      </w:r>
      <w:r w:rsidRPr="001D748C">
        <w:t>MEF</w:t>
      </w:r>
      <w:r>
        <w:t xml:space="preserve"> 74</w:t>
      </w:r>
      <w:r w:rsidR="00403A45">
        <w:t xml:space="preserve"> </w:t>
      </w:r>
      <w:r w:rsidR="00403A45" w:rsidRPr="00403A45">
        <w:t>[</w:t>
      </w:r>
      <w:r w:rsidR="00403A45" w:rsidRPr="00403A45">
        <w:fldChar w:fldCharType="begin"/>
      </w:r>
      <w:r w:rsidR="00403A45" w:rsidRPr="00403A45">
        <w:instrText xml:space="preserve">REF REF_MEFFORUMMEF_74DECEMBER2018 \h </w:instrText>
      </w:r>
      <w:r w:rsidR="00403A45" w:rsidRPr="00403A45">
        <w:fldChar w:fldCharType="separate"/>
      </w:r>
      <w:r w:rsidR="00403A45" w:rsidRPr="00403A45">
        <w:t>i.</w:t>
      </w:r>
      <w:r w:rsidR="00403A45" w:rsidRPr="00403A45">
        <w:rPr>
          <w:noProof/>
        </w:rPr>
        <w:t>1</w:t>
      </w:r>
      <w:r w:rsidR="00403A45" w:rsidRPr="00403A45">
        <w:fldChar w:fldCharType="end"/>
      </w:r>
      <w:r w:rsidR="00403A45" w:rsidRPr="00403A45">
        <w:t>]</w:t>
      </w:r>
      <w:r w:rsidR="00E7242A" w:rsidRPr="00381329">
        <w:t>.</w:t>
      </w:r>
    </w:p>
    <w:p w14:paraId="77A50413" w14:textId="0CF05C67" w:rsidR="00B4021E" w:rsidRPr="00381329" w:rsidRDefault="00B4021E" w:rsidP="00B4021E">
      <w:r w:rsidRPr="00381329">
        <w:rPr>
          <w:b/>
          <w:bCs/>
        </w:rPr>
        <w:t>buyer:</w:t>
      </w:r>
      <w:r w:rsidRPr="00381329">
        <w:rPr>
          <w:color w:val="000000" w:themeColor="text1"/>
        </w:rPr>
        <w:t xml:space="preserve"> entity that buys a service from a Seller of which it is an immediate neighbour in the Supply Chain</w:t>
      </w:r>
    </w:p>
    <w:p w14:paraId="38920E27" w14:textId="33DC520E" w:rsidR="00655378" w:rsidRPr="00381329" w:rsidRDefault="00655378" w:rsidP="00B4021E">
      <w:r w:rsidRPr="00381329">
        <w:rPr>
          <w:b/>
        </w:rPr>
        <w:t>Call Details Record ("</w:t>
      </w:r>
      <w:r w:rsidRPr="001D748C">
        <w:rPr>
          <w:b/>
        </w:rPr>
        <w:t>CDR</w:t>
      </w:r>
      <w:r>
        <w:rPr>
          <w:b/>
        </w:rPr>
        <w:t xml:space="preserve">"): </w:t>
      </w:r>
      <w:r w:rsidRPr="00381329">
        <w:t xml:space="preserve">digital record containing information related to a telephone call traversing a telephone </w:t>
      </w:r>
      <w:proofErr w:type="gramStart"/>
      <w:r w:rsidRPr="00381329">
        <w:t>network</w:t>
      </w:r>
      <w:proofErr w:type="gramEnd"/>
    </w:p>
    <w:p w14:paraId="1DF4A9EF" w14:textId="77777777" w:rsidR="00B4021E" w:rsidRPr="00381329" w:rsidRDefault="00B4021E" w:rsidP="00B4021E">
      <w:r w:rsidRPr="00381329">
        <w:rPr>
          <w:b/>
          <w:bCs/>
          <w:color w:val="000000" w:themeColor="text1"/>
        </w:rPr>
        <w:t>commercial agreement:</w:t>
      </w:r>
      <w:r w:rsidRPr="00381329">
        <w:rPr>
          <w:b/>
          <w:bCs/>
        </w:rPr>
        <w:t xml:space="preserve"> </w:t>
      </w:r>
      <w:r w:rsidRPr="00381329">
        <w:rPr>
          <w:color w:val="000000" w:themeColor="text1"/>
        </w:rPr>
        <w:t xml:space="preserve">agreement between two parties allowing for buying services, selling services between them or </w:t>
      </w:r>
      <w:proofErr w:type="gramStart"/>
      <w:r w:rsidRPr="00381329">
        <w:rPr>
          <w:color w:val="000000" w:themeColor="text1"/>
        </w:rPr>
        <w:t>both</w:t>
      </w:r>
      <w:proofErr w:type="gramEnd"/>
    </w:p>
    <w:p w14:paraId="6D44D419" w14:textId="77777777" w:rsidR="00B4021E" w:rsidRPr="00381329" w:rsidRDefault="00B4021E" w:rsidP="00B4021E">
      <w:r w:rsidRPr="00381329">
        <w:rPr>
          <w:b/>
          <w:bCs/>
          <w:color w:val="000000" w:themeColor="text1"/>
        </w:rPr>
        <w:t xml:space="preserve">compute: </w:t>
      </w:r>
      <w:r w:rsidRPr="00381329">
        <w:rPr>
          <w:color w:val="000000" w:themeColor="text1"/>
        </w:rPr>
        <w:t xml:space="preserve">act of manipulating data or acting based on data using a computing </w:t>
      </w:r>
      <w:proofErr w:type="gramStart"/>
      <w:r w:rsidRPr="00381329">
        <w:rPr>
          <w:color w:val="000000" w:themeColor="text1"/>
        </w:rPr>
        <w:t>resource</w:t>
      </w:r>
      <w:proofErr w:type="gramEnd"/>
    </w:p>
    <w:p w14:paraId="0489B2BB" w14:textId="77777777" w:rsidR="00B4021E" w:rsidRPr="00381329" w:rsidRDefault="00B4021E" w:rsidP="00B4021E">
      <w:r w:rsidRPr="00381329">
        <w:rPr>
          <w:b/>
          <w:bCs/>
          <w:color w:val="000000" w:themeColor="text1"/>
        </w:rPr>
        <w:t xml:space="preserve">connectivity: </w:t>
      </w:r>
      <w:r w:rsidRPr="00381329">
        <w:rPr>
          <w:color w:val="000000" w:themeColor="text1"/>
        </w:rPr>
        <w:t>act of transporting data through space</w:t>
      </w:r>
    </w:p>
    <w:p w14:paraId="221BFAE4" w14:textId="7425AF7D" w:rsidR="00743E15" w:rsidRPr="00381329" w:rsidRDefault="00743E15" w:rsidP="00B4021E">
      <w:pPr>
        <w:rPr>
          <w:color w:val="000000" w:themeColor="text1"/>
        </w:rPr>
      </w:pPr>
      <w:r w:rsidRPr="00381329">
        <w:rPr>
          <w:b/>
          <w:bCs/>
          <w:color w:val="000000" w:themeColor="text1"/>
        </w:rPr>
        <w:t xml:space="preserve">data: </w:t>
      </w:r>
      <w:r w:rsidRPr="00381329">
        <w:rPr>
          <w:color w:val="000000" w:themeColor="text1"/>
        </w:rPr>
        <w:t xml:space="preserve">in the context of the </w:t>
      </w:r>
      <w:r w:rsidR="00381329" w:rsidRPr="00381329">
        <w:rPr>
          <w:color w:val="000000" w:themeColor="text1"/>
        </w:rPr>
        <w:t>present</w:t>
      </w:r>
      <w:r w:rsidRPr="00381329">
        <w:rPr>
          <w:color w:val="000000" w:themeColor="text1"/>
        </w:rPr>
        <w:t xml:space="preserve"> document data is information related to the characteristics and usage of </w:t>
      </w:r>
      <w:proofErr w:type="gramStart"/>
      <w:r w:rsidRPr="00381329">
        <w:rPr>
          <w:color w:val="000000" w:themeColor="text1"/>
        </w:rPr>
        <w:t>services</w:t>
      </w:r>
      <w:proofErr w:type="gramEnd"/>
    </w:p>
    <w:p w14:paraId="319A55C6" w14:textId="64B580D3" w:rsidR="00B4021E" w:rsidRPr="00381329" w:rsidRDefault="00B4021E" w:rsidP="00B4021E">
      <w:pPr>
        <w:rPr>
          <w:color w:val="000000" w:themeColor="text1"/>
        </w:rPr>
      </w:pPr>
      <w:r w:rsidRPr="00381329">
        <w:rPr>
          <w:b/>
          <w:bCs/>
          <w:color w:val="000000" w:themeColor="text1"/>
        </w:rPr>
        <w:t xml:space="preserve">data service: </w:t>
      </w:r>
      <w:r w:rsidRPr="00381329">
        <w:rPr>
          <w:color w:val="000000" w:themeColor="text1"/>
        </w:rPr>
        <w:t>service that combines one or more of the following:</w:t>
      </w:r>
    </w:p>
    <w:p w14:paraId="08D95C5B" w14:textId="77777777" w:rsidR="00B4021E" w:rsidRPr="00381329" w:rsidRDefault="00B4021E" w:rsidP="00B4021E">
      <w:pPr>
        <w:pStyle w:val="B1"/>
      </w:pPr>
      <w:r w:rsidRPr="00381329">
        <w:t>Connectivity service</w:t>
      </w:r>
    </w:p>
    <w:p w14:paraId="15B8D738" w14:textId="77777777" w:rsidR="00B4021E" w:rsidRPr="00381329" w:rsidRDefault="00B4021E" w:rsidP="00B4021E">
      <w:pPr>
        <w:pStyle w:val="B1"/>
      </w:pPr>
      <w:r w:rsidRPr="00381329">
        <w:t xml:space="preserve">Compute </w:t>
      </w:r>
      <w:proofErr w:type="gramStart"/>
      <w:r w:rsidRPr="00381329">
        <w:t>service</w:t>
      </w:r>
      <w:proofErr w:type="gramEnd"/>
    </w:p>
    <w:p w14:paraId="6F252FBF" w14:textId="77777777" w:rsidR="00B4021E" w:rsidRPr="00381329" w:rsidRDefault="00B4021E" w:rsidP="00B4021E">
      <w:pPr>
        <w:pStyle w:val="B1"/>
      </w:pPr>
      <w:r w:rsidRPr="00381329">
        <w:t>Storage service</w:t>
      </w:r>
    </w:p>
    <w:p w14:paraId="5D807E8A" w14:textId="620E9A3D" w:rsidR="00B4021E" w:rsidRPr="00381329" w:rsidRDefault="00743E15" w:rsidP="00B4021E">
      <w:r w:rsidRPr="00381329">
        <w:rPr>
          <w:b/>
          <w:color w:val="000000" w:themeColor="text1"/>
        </w:rPr>
        <w:t xml:space="preserve">domain: </w:t>
      </w:r>
      <w:r w:rsidRPr="00381329">
        <w:rPr>
          <w:color w:val="000000" w:themeColor="text1"/>
        </w:rPr>
        <w:t xml:space="preserve">group of </w:t>
      </w:r>
      <w:r w:rsidRPr="001D748C">
        <w:t>ICT</w:t>
      </w:r>
      <w:r>
        <w:rPr>
          <w:color w:val="000000" w:themeColor="text1"/>
        </w:rPr>
        <w:t xml:space="preserve"> elements administered and operated by an entity and subject to specific rules, regulations and </w:t>
      </w:r>
      <w:proofErr w:type="gramStart"/>
      <w:r>
        <w:rPr>
          <w:color w:val="000000" w:themeColor="text1"/>
        </w:rPr>
        <w:t>procedures</w:t>
      </w:r>
      <w:proofErr w:type="gramEnd"/>
    </w:p>
    <w:p w14:paraId="53C34043" w14:textId="527CE77E" w:rsidR="00BA1127" w:rsidRPr="00381329" w:rsidRDefault="007744BF" w:rsidP="00BA1127">
      <w:pPr>
        <w:pStyle w:val="NO"/>
        <w:ind w:left="0" w:firstLine="0"/>
      </w:pPr>
      <w:r w:rsidRPr="00381329">
        <w:rPr>
          <w:b/>
          <w:bCs/>
        </w:rPr>
        <w:t>g</w:t>
      </w:r>
      <w:r w:rsidR="00BA1127" w:rsidRPr="00381329">
        <w:rPr>
          <w:b/>
          <w:bCs/>
        </w:rPr>
        <w:t>as cost</w:t>
      </w:r>
      <w:r w:rsidRPr="00381329">
        <w:rPr>
          <w:b/>
          <w:bCs/>
        </w:rPr>
        <w:t>:</w:t>
      </w:r>
      <w:r w:rsidRPr="00381329">
        <w:t xml:space="preserve"> cost of performing a blockchain </w:t>
      </w:r>
      <w:proofErr w:type="gramStart"/>
      <w:r w:rsidRPr="00381329">
        <w:t>transaction</w:t>
      </w:r>
      <w:proofErr w:type="gramEnd"/>
    </w:p>
    <w:p w14:paraId="0D511D2B" w14:textId="3211E101" w:rsidR="00057359" w:rsidRPr="00381329" w:rsidRDefault="00057359" w:rsidP="00B4021E">
      <w:r w:rsidRPr="00381329">
        <w:rPr>
          <w:b/>
          <w:bCs/>
        </w:rPr>
        <w:t xml:space="preserve">Internet of </w:t>
      </w:r>
      <w:r w:rsidRPr="00381329">
        <w:rPr>
          <w:rFonts w:asciiTheme="majorBidi" w:hAnsiTheme="majorBidi"/>
          <w:b/>
        </w:rPr>
        <w:t>Things ("</w:t>
      </w:r>
      <w:r w:rsidRPr="001D748C">
        <w:rPr>
          <w:rFonts w:asciiTheme="majorBidi" w:hAnsiTheme="majorBidi"/>
          <w:b/>
        </w:rPr>
        <w:t>IoT</w:t>
      </w:r>
      <w:r>
        <w:rPr>
          <w:rFonts w:asciiTheme="majorBidi" w:hAnsiTheme="majorBidi"/>
          <w:b/>
        </w:rPr>
        <w:t>"):</w:t>
      </w:r>
      <w:r w:rsidRPr="00381329">
        <w:rPr>
          <w:rFonts w:asciiTheme="majorBidi" w:hAnsiTheme="majorBidi" w:cstheme="majorBidi"/>
        </w:rPr>
        <w:t xml:space="preserve"> </w:t>
      </w:r>
      <w:r w:rsidRPr="00381329">
        <w:rPr>
          <w:rFonts w:asciiTheme="majorBidi" w:hAnsiTheme="majorBidi" w:cstheme="majorBidi"/>
          <w:color w:val="161513"/>
          <w:shd w:val="clear" w:color="auto" w:fill="FFFFFF"/>
        </w:rPr>
        <w:t xml:space="preserve">network of physical objects that are embedded with sensors, software and other technologies for the purpose of connecting and exchanging data with other devices and systems over the </w:t>
      </w:r>
      <w:proofErr w:type="gramStart"/>
      <w:r w:rsidRPr="00381329">
        <w:rPr>
          <w:rFonts w:asciiTheme="majorBidi" w:hAnsiTheme="majorBidi" w:cstheme="majorBidi"/>
          <w:color w:val="161513"/>
          <w:shd w:val="clear" w:color="auto" w:fill="FFFFFF"/>
        </w:rPr>
        <w:t>internet</w:t>
      </w:r>
      <w:proofErr w:type="gramEnd"/>
    </w:p>
    <w:p w14:paraId="61A84E43" w14:textId="43B14BBE" w:rsidR="00B4021E" w:rsidRPr="00381329" w:rsidRDefault="00B4021E" w:rsidP="00B4021E">
      <w:r w:rsidRPr="00381329">
        <w:rPr>
          <w:b/>
          <w:bCs/>
          <w:color w:val="000000" w:themeColor="text1"/>
        </w:rPr>
        <w:t>invoicing:</w:t>
      </w:r>
      <w:r w:rsidRPr="00381329">
        <w:rPr>
          <w:color w:val="000000" w:themeColor="text1"/>
        </w:rPr>
        <w:t xml:space="preserve"> process in which the Seller generates and sends an invoice to the Buyer for the amount stipulated by </w:t>
      </w:r>
      <w:r w:rsidR="001E76BC" w:rsidRPr="00381329">
        <w:rPr>
          <w:color w:val="000000" w:themeColor="text1"/>
        </w:rPr>
        <w:t>an</w:t>
      </w:r>
      <w:r w:rsidRPr="00381329">
        <w:rPr>
          <w:color w:val="000000" w:themeColor="text1"/>
        </w:rPr>
        <w:t xml:space="preserve"> </w:t>
      </w:r>
      <w:r w:rsidR="001E76BC" w:rsidRPr="00381329">
        <w:rPr>
          <w:color w:val="000000" w:themeColor="text1"/>
        </w:rPr>
        <w:t xml:space="preserve">agreement and based on utilization information and </w:t>
      </w:r>
      <w:r w:rsidRPr="001D748C">
        <w:t>SLA</w:t>
      </w:r>
      <w:r>
        <w:rPr>
          <w:color w:val="000000" w:themeColor="text1"/>
        </w:rPr>
        <w:t xml:space="preserve"> or other credits as applicable based on </w:t>
      </w:r>
      <w:proofErr w:type="gramStart"/>
      <w:r>
        <w:rPr>
          <w:color w:val="000000" w:themeColor="text1"/>
        </w:rPr>
        <w:t>agreement</w:t>
      </w:r>
      <w:proofErr w:type="gramEnd"/>
    </w:p>
    <w:p w14:paraId="2E3A872D" w14:textId="6952C074" w:rsidR="00743E15" w:rsidRPr="00381329" w:rsidRDefault="00743E15" w:rsidP="00B4021E">
      <w:pPr>
        <w:rPr>
          <w:color w:val="000000" w:themeColor="text1"/>
        </w:rPr>
      </w:pPr>
      <w:r w:rsidRPr="00381329">
        <w:rPr>
          <w:b/>
          <w:bCs/>
          <w:color w:val="000000" w:themeColor="text1"/>
        </w:rPr>
        <w:t xml:space="preserve">Multi-domain environment: </w:t>
      </w:r>
      <w:r w:rsidRPr="001D748C">
        <w:t>ICT</w:t>
      </w:r>
      <w:r>
        <w:rPr>
          <w:color w:val="000000" w:themeColor="text1"/>
        </w:rPr>
        <w:t xml:space="preserve"> environment where multiple domains exist and are managed by different </w:t>
      </w:r>
      <w:proofErr w:type="gramStart"/>
      <w:r>
        <w:rPr>
          <w:color w:val="000000" w:themeColor="text1"/>
        </w:rPr>
        <w:t>entities</w:t>
      </w:r>
      <w:proofErr w:type="gramEnd"/>
    </w:p>
    <w:p w14:paraId="5EAD8F6A" w14:textId="6C5FEFA5" w:rsidR="00885651" w:rsidRPr="00381329" w:rsidRDefault="00885651" w:rsidP="00B4021E">
      <w:pPr>
        <w:rPr>
          <w:b/>
          <w:bCs/>
          <w:color w:val="000000" w:themeColor="text1"/>
        </w:rPr>
      </w:pPr>
      <w:r w:rsidRPr="00381329">
        <w:rPr>
          <w:b/>
          <w:bCs/>
        </w:rPr>
        <w:t xml:space="preserve">Netting: </w:t>
      </w:r>
      <w:r w:rsidRPr="00381329">
        <w:t xml:space="preserve">subtracting amounts due by two parties to each other resulting in a net amount owed by one party to the other and a </w:t>
      </w:r>
      <w:proofErr w:type="gramStart"/>
      <w:r w:rsidRPr="00381329">
        <w:t>zero amount</w:t>
      </w:r>
      <w:proofErr w:type="gramEnd"/>
      <w:r w:rsidRPr="00381329">
        <w:t xml:space="preserve"> owed by the other party</w:t>
      </w:r>
    </w:p>
    <w:p w14:paraId="08E65A14" w14:textId="58235831" w:rsidR="00B4021E" w:rsidRPr="00381329" w:rsidRDefault="00B4021E" w:rsidP="00B4021E">
      <w:r w:rsidRPr="00381329">
        <w:rPr>
          <w:b/>
          <w:bCs/>
        </w:rPr>
        <w:t>ra</w:t>
      </w:r>
      <w:r w:rsidR="001E76BC" w:rsidRPr="00381329">
        <w:rPr>
          <w:b/>
          <w:bCs/>
        </w:rPr>
        <w:t>ting</w:t>
      </w:r>
      <w:r w:rsidRPr="00381329">
        <w:rPr>
          <w:b/>
          <w:bCs/>
        </w:rPr>
        <w:t xml:space="preserve">: </w:t>
      </w:r>
      <w:r w:rsidR="001E76BC" w:rsidRPr="00381329">
        <w:t>application of a commercial rate to a usage record</w:t>
      </w:r>
    </w:p>
    <w:p w14:paraId="763EAE36" w14:textId="4D795754" w:rsidR="00B4021E" w:rsidRPr="00381329" w:rsidRDefault="00B4021E" w:rsidP="00B4021E">
      <w:r w:rsidRPr="00381329">
        <w:rPr>
          <w:b/>
          <w:bCs/>
        </w:rPr>
        <w:t>reconciliation:</w:t>
      </w:r>
      <w:r w:rsidRPr="00381329">
        <w:t xml:space="preserve"> process of reaching agreement in case of a </w:t>
      </w:r>
      <w:proofErr w:type="gramStart"/>
      <w:r w:rsidR="001E76BC" w:rsidRPr="00381329">
        <w:t>dispute</w:t>
      </w:r>
      <w:proofErr w:type="gramEnd"/>
    </w:p>
    <w:p w14:paraId="5DAE492C" w14:textId="6999C67A" w:rsidR="00B4021E" w:rsidRPr="00381329" w:rsidRDefault="00B4021E" w:rsidP="00B4021E">
      <w:pPr>
        <w:pStyle w:val="NO"/>
      </w:pPr>
      <w:r w:rsidRPr="00381329">
        <w:t>NOTE:</w:t>
      </w:r>
      <w:r w:rsidRPr="00381329">
        <w:tab/>
        <w:t xml:space="preserve">See </w:t>
      </w:r>
      <w:r w:rsidRPr="001D748C">
        <w:t>MEF</w:t>
      </w:r>
      <w:r>
        <w:t xml:space="preserve"> 74</w:t>
      </w:r>
      <w:r w:rsidRPr="00381329">
        <w:rPr>
          <w:cs/>
        </w:rPr>
        <w:t>‎</w:t>
      </w:r>
      <w:r w:rsidR="00403A45">
        <w:t xml:space="preserve"> </w:t>
      </w:r>
      <w:r w:rsidR="00403A45" w:rsidRPr="00403A45">
        <w:t>[</w:t>
      </w:r>
      <w:r w:rsidR="00403A45" w:rsidRPr="00403A45">
        <w:rPr>
          <w:cs/>
        </w:rPr>
        <w:fldChar w:fldCharType="begin"/>
      </w:r>
      <w:r w:rsidR="00403A45" w:rsidRPr="00403A45">
        <w:instrText xml:space="preserve">REF REF_MEFFORUMMEF_74DECEMBER2018 \h </w:instrText>
      </w:r>
      <w:r w:rsidR="00403A45" w:rsidRPr="00403A45">
        <w:rPr>
          <w:cs/>
        </w:rPr>
      </w:r>
      <w:r w:rsidR="00403A45" w:rsidRPr="00403A45">
        <w:rPr>
          <w:cs/>
        </w:rPr>
        <w:fldChar w:fldCharType="separate"/>
      </w:r>
      <w:r w:rsidR="00403A45" w:rsidRPr="00403A45">
        <w:t>i.</w:t>
      </w:r>
      <w:r w:rsidR="00403A45" w:rsidRPr="00403A45">
        <w:rPr>
          <w:noProof/>
        </w:rPr>
        <w:t>1</w:t>
      </w:r>
      <w:r w:rsidR="00403A45" w:rsidRPr="00403A45">
        <w:rPr>
          <w:cs/>
        </w:rPr>
        <w:fldChar w:fldCharType="end"/>
      </w:r>
      <w:r w:rsidR="00403A45" w:rsidRPr="00403A45">
        <w:t>]</w:t>
      </w:r>
      <w:r w:rsidRPr="00381329">
        <w:rPr>
          <w:cs/>
        </w:rPr>
        <w:t>‎</w:t>
      </w:r>
      <w:r w:rsidRPr="00381329">
        <w:t>.</w:t>
      </w:r>
    </w:p>
    <w:p w14:paraId="023A0B0F" w14:textId="2AAABD75" w:rsidR="00B4021E" w:rsidRPr="00381329" w:rsidRDefault="00B4021E" w:rsidP="00B4021E">
      <w:r w:rsidRPr="00381329">
        <w:rPr>
          <w:b/>
          <w:bCs/>
        </w:rPr>
        <w:t xml:space="preserve">seller: </w:t>
      </w:r>
      <w:r w:rsidRPr="00381329">
        <w:rPr>
          <w:color w:val="000000" w:themeColor="text1"/>
        </w:rPr>
        <w:t>entity that sells goods or a service to a Buyer of which it is an immediate neighbour in the Supply Chain</w:t>
      </w:r>
    </w:p>
    <w:p w14:paraId="1492C2D5" w14:textId="1CF8C92A" w:rsidR="00B4021E" w:rsidRPr="00381329" w:rsidRDefault="00B4021E" w:rsidP="00B4021E">
      <w:pPr>
        <w:rPr>
          <w:color w:val="000000" w:themeColor="text1"/>
        </w:rPr>
      </w:pPr>
      <w:r w:rsidRPr="00381329">
        <w:rPr>
          <w:b/>
          <w:bCs/>
        </w:rPr>
        <w:t xml:space="preserve">settlement: </w:t>
      </w:r>
      <w:r w:rsidRPr="00381329">
        <w:rPr>
          <w:color w:val="000000" w:themeColor="text1"/>
        </w:rPr>
        <w:t xml:space="preserve">transfer of monetary funds between parties based on billing and </w:t>
      </w:r>
      <w:proofErr w:type="gramStart"/>
      <w:r w:rsidR="001E76BC" w:rsidRPr="00381329">
        <w:rPr>
          <w:color w:val="000000" w:themeColor="text1"/>
        </w:rPr>
        <w:t>reconciliation</w:t>
      </w:r>
      <w:proofErr w:type="gramEnd"/>
    </w:p>
    <w:p w14:paraId="537C62A6" w14:textId="1AB67731" w:rsidR="00B4021E" w:rsidRPr="00381329" w:rsidRDefault="00B4021E" w:rsidP="00B4021E">
      <w:pPr>
        <w:rPr>
          <w:lang w:bidi="he-IL"/>
        </w:rPr>
      </w:pPr>
      <w:r w:rsidRPr="00381329">
        <w:rPr>
          <w:b/>
          <w:bCs/>
        </w:rPr>
        <w:lastRenderedPageBreak/>
        <w:t>Service Level Agreement (</w:t>
      </w:r>
      <w:r w:rsidRPr="001D748C">
        <w:rPr>
          <w:b/>
          <w:bCs/>
        </w:rPr>
        <w:t>SLA</w:t>
      </w:r>
      <w:r>
        <w:rPr>
          <w:b/>
          <w:bCs/>
        </w:rPr>
        <w:t xml:space="preserve">): </w:t>
      </w:r>
      <w:r w:rsidRPr="00381329">
        <w:t xml:space="preserve">contract between the </w:t>
      </w:r>
      <w:r w:rsidR="003707AA" w:rsidRPr="00381329">
        <w:t>Buyer</w:t>
      </w:r>
      <w:r w:rsidRPr="00381329">
        <w:t xml:space="preserve"> and </w:t>
      </w:r>
      <w:r w:rsidR="003707AA" w:rsidRPr="00381329">
        <w:t>Seller</w:t>
      </w:r>
      <w:r w:rsidRPr="00381329">
        <w:t xml:space="preserve"> specifying the service level commitments and related business agreements</w:t>
      </w:r>
      <w:r w:rsidR="003707AA" w:rsidRPr="00381329">
        <w:t xml:space="preserve"> and penalties related to failure to meet such service level</w:t>
      </w:r>
      <w:r w:rsidRPr="00381329">
        <w:t xml:space="preserve"> for a </w:t>
      </w:r>
      <w:proofErr w:type="gramStart"/>
      <w:r w:rsidRPr="00381329">
        <w:t>service</w:t>
      </w:r>
      <w:proofErr w:type="gramEnd"/>
    </w:p>
    <w:p w14:paraId="617093BF" w14:textId="77777777" w:rsidR="00B4021E" w:rsidRPr="00381329" w:rsidRDefault="00B4021E" w:rsidP="00B4021E">
      <w:pPr>
        <w:rPr>
          <w:color w:val="000000" w:themeColor="text1"/>
        </w:rPr>
      </w:pPr>
      <w:r w:rsidRPr="00381329">
        <w:rPr>
          <w:b/>
          <w:bCs/>
          <w:color w:val="000000" w:themeColor="text1"/>
        </w:rPr>
        <w:t xml:space="preserve">supply chain: </w:t>
      </w:r>
      <w:r w:rsidRPr="00381329">
        <w:rPr>
          <w:color w:val="000000" w:themeColor="text1"/>
        </w:rPr>
        <w:t xml:space="preserve">collection of entities that in combination deliver one or more goods or end-to-end services through bilateral </w:t>
      </w:r>
      <w:proofErr w:type="gramStart"/>
      <w:r w:rsidRPr="00381329">
        <w:rPr>
          <w:color w:val="000000" w:themeColor="text1"/>
        </w:rPr>
        <w:t>agreements</w:t>
      </w:r>
      <w:proofErr w:type="gramEnd"/>
    </w:p>
    <w:p w14:paraId="2AD22750" w14:textId="1D2AF0E5" w:rsidR="00914A5A" w:rsidRPr="00381329" w:rsidRDefault="00BA1127">
      <w:r w:rsidRPr="00381329">
        <w:rPr>
          <w:b/>
          <w:bCs/>
          <w:color w:val="000000" w:themeColor="text1"/>
        </w:rPr>
        <w:t>transaction point:</w:t>
      </w:r>
      <w:r w:rsidRPr="00381329">
        <w:rPr>
          <w:color w:val="000000" w:themeColor="text1"/>
        </w:rPr>
        <w:t xml:space="preserve"> a physical or virtual meeting place between a buyer and seller where transactions are being </w:t>
      </w:r>
      <w:proofErr w:type="gramStart"/>
      <w:r w:rsidRPr="00381329">
        <w:rPr>
          <w:color w:val="000000" w:themeColor="text1"/>
        </w:rPr>
        <w:t>performed</w:t>
      </w:r>
      <w:bookmarkEnd w:id="55"/>
      <w:proofErr w:type="gramEnd"/>
    </w:p>
    <w:p w14:paraId="5B3B045F" w14:textId="77777777" w:rsidR="00914A5A" w:rsidRPr="00381329" w:rsidRDefault="001B504E">
      <w:pPr>
        <w:pStyle w:val="Heading2"/>
        <w:keepLines w:val="0"/>
        <w:widowControl w:val="0"/>
      </w:pPr>
      <w:bookmarkStart w:id="56" w:name="_Toc160786983"/>
      <w:bookmarkStart w:id="57" w:name="_Toc161049351"/>
      <w:r w:rsidRPr="00381329">
        <w:t>3.2</w:t>
      </w:r>
      <w:r w:rsidRPr="00381329">
        <w:tab/>
        <w:t>Symbols</w:t>
      </w:r>
      <w:bookmarkEnd w:id="56"/>
      <w:bookmarkEnd w:id="57"/>
    </w:p>
    <w:p w14:paraId="2CFD3CA3" w14:textId="7AD19713" w:rsidR="00914A5A" w:rsidRPr="00381329" w:rsidRDefault="00B4021E" w:rsidP="00B4021E">
      <w:r w:rsidRPr="00381329">
        <w:t>Void</w:t>
      </w:r>
      <w:r w:rsidR="00A42E54" w:rsidRPr="00381329">
        <w:t>.</w:t>
      </w:r>
    </w:p>
    <w:p w14:paraId="0A0C13CF" w14:textId="77777777" w:rsidR="00914A5A" w:rsidRPr="00381329" w:rsidRDefault="001B504E">
      <w:pPr>
        <w:pStyle w:val="Heading2"/>
      </w:pPr>
      <w:bookmarkStart w:id="58" w:name="_Toc160786984"/>
      <w:bookmarkStart w:id="59" w:name="_Toc161049352"/>
      <w:r w:rsidRPr="00381329">
        <w:t>3.3</w:t>
      </w:r>
      <w:r w:rsidRPr="00381329">
        <w:tab/>
        <w:t>Abbreviations</w:t>
      </w:r>
      <w:bookmarkEnd w:id="58"/>
      <w:bookmarkEnd w:id="59"/>
    </w:p>
    <w:p w14:paraId="3C57E7D1" w14:textId="40D148C5" w:rsidR="00B4021E" w:rsidRPr="00381329" w:rsidRDefault="00B4021E" w:rsidP="00B4021E">
      <w:r w:rsidRPr="00381329">
        <w:t>For the purposes of the present document, the following abbreviations apply:</w:t>
      </w:r>
    </w:p>
    <w:p w14:paraId="60FC2BB4" w14:textId="32925BB1" w:rsidR="00655378" w:rsidRDefault="00655378" w:rsidP="00B4021E">
      <w:pPr>
        <w:pStyle w:val="EW"/>
      </w:pPr>
      <w:r w:rsidRPr="001D748C">
        <w:rPr>
          <w:rFonts w:eastAsia="Yu Gothic"/>
        </w:rPr>
        <w:t>CDR</w:t>
      </w:r>
      <w:r w:rsidRPr="00381329">
        <w:tab/>
        <w:t>Call Details Record</w:t>
      </w:r>
    </w:p>
    <w:p w14:paraId="25A56704" w14:textId="77777777" w:rsidR="005D277A" w:rsidRPr="00381329" w:rsidRDefault="005D277A" w:rsidP="005D277A">
      <w:pPr>
        <w:pStyle w:val="EW"/>
        <w:rPr>
          <w:rFonts w:eastAsia="Yu Gothic"/>
        </w:rPr>
      </w:pPr>
      <w:r w:rsidRPr="001D748C">
        <w:rPr>
          <w:rFonts w:eastAsia="Yu Gothic"/>
        </w:rPr>
        <w:t>CPU</w:t>
      </w:r>
      <w:r w:rsidRPr="00381329">
        <w:tab/>
      </w:r>
      <w:r>
        <w:t>Central Processing Unit</w:t>
      </w:r>
    </w:p>
    <w:p w14:paraId="27F4B02D" w14:textId="6D41872D" w:rsidR="005D277A" w:rsidRPr="00381329" w:rsidRDefault="005D277A" w:rsidP="005D277A">
      <w:pPr>
        <w:pStyle w:val="EW"/>
        <w:rPr>
          <w:rFonts w:eastAsia="Yu Gothic"/>
        </w:rPr>
      </w:pPr>
      <w:r w:rsidRPr="001D748C">
        <w:rPr>
          <w:rFonts w:eastAsia="Yu Gothic"/>
        </w:rPr>
        <w:t>DLT</w:t>
      </w:r>
      <w:r w:rsidRPr="00381329">
        <w:tab/>
      </w:r>
      <w:commentRangeStart w:id="60"/>
      <w:commentRangeStart w:id="61"/>
      <w:commentRangeEnd w:id="60"/>
      <w:r>
        <w:rPr>
          <w:rStyle w:val="CommentReference"/>
        </w:rPr>
        <w:commentReference w:id="60"/>
      </w:r>
      <w:commentRangeEnd w:id="61"/>
      <w:r>
        <w:rPr>
          <w:rStyle w:val="CommentReference"/>
        </w:rPr>
        <w:commentReference w:id="61"/>
      </w:r>
      <w:r>
        <w:t>Distributed Ledger Technology</w:t>
      </w:r>
    </w:p>
    <w:p w14:paraId="167F1C0D" w14:textId="77777777" w:rsidR="00B4021E" w:rsidRPr="00381329" w:rsidRDefault="00B4021E" w:rsidP="00B4021E">
      <w:pPr>
        <w:pStyle w:val="EW"/>
        <w:rPr>
          <w:rFonts w:eastAsia="Yu Gothic"/>
        </w:rPr>
      </w:pPr>
      <w:r w:rsidRPr="001D748C">
        <w:rPr>
          <w:rFonts w:eastAsia="Yu Gothic"/>
        </w:rPr>
        <w:t>ETSI</w:t>
      </w:r>
      <w:r w:rsidRPr="00381329">
        <w:tab/>
        <w:t>European Telecommunications Standards Institute</w:t>
      </w:r>
    </w:p>
    <w:p w14:paraId="00336F56" w14:textId="77777777" w:rsidR="00B4021E" w:rsidRPr="00381329" w:rsidRDefault="00B4021E" w:rsidP="00B4021E">
      <w:pPr>
        <w:pStyle w:val="EW"/>
        <w:rPr>
          <w:rFonts w:eastAsia="Yu Gothic"/>
        </w:rPr>
      </w:pPr>
      <w:r w:rsidRPr="001D748C">
        <w:rPr>
          <w:rFonts w:eastAsia="Yu Gothic"/>
        </w:rPr>
        <w:t>GDPR</w:t>
      </w:r>
      <w:r w:rsidRPr="00381329">
        <w:tab/>
        <w:t>General Data Protection Regulation</w:t>
      </w:r>
    </w:p>
    <w:p w14:paraId="5042D8B5" w14:textId="77777777" w:rsidR="00B4021E" w:rsidRPr="00381329" w:rsidRDefault="00B4021E" w:rsidP="00B4021E">
      <w:pPr>
        <w:pStyle w:val="EW"/>
        <w:rPr>
          <w:rFonts w:eastAsia="Yu Gothic"/>
        </w:rPr>
      </w:pPr>
      <w:r w:rsidRPr="001D748C">
        <w:rPr>
          <w:rFonts w:eastAsia="Yu Gothic"/>
        </w:rPr>
        <w:t>GUI</w:t>
      </w:r>
      <w:r w:rsidRPr="00381329">
        <w:tab/>
        <w:t>Graphical User Interface</w:t>
      </w:r>
    </w:p>
    <w:p w14:paraId="70C30F8C" w14:textId="77777777" w:rsidR="00B4021E" w:rsidRPr="00381329" w:rsidRDefault="00B4021E" w:rsidP="00B4021E">
      <w:pPr>
        <w:pStyle w:val="EW"/>
        <w:rPr>
          <w:rFonts w:eastAsia="Yu Gothic"/>
        </w:rPr>
      </w:pPr>
      <w:r w:rsidRPr="001D748C">
        <w:rPr>
          <w:rFonts w:eastAsia="Yu Gothic"/>
        </w:rPr>
        <w:t>ID</w:t>
      </w:r>
      <w:r w:rsidRPr="00381329">
        <w:tab/>
        <w:t>Identification/Identity Document</w:t>
      </w:r>
    </w:p>
    <w:p w14:paraId="2097821B" w14:textId="4C643ABF" w:rsidR="00933238" w:rsidRPr="00381329" w:rsidRDefault="00933238" w:rsidP="00B4021E">
      <w:pPr>
        <w:pStyle w:val="EW"/>
        <w:rPr>
          <w:rFonts w:eastAsia="Yu Gothic"/>
        </w:rPr>
      </w:pPr>
      <w:r w:rsidRPr="001D748C">
        <w:rPr>
          <w:rFonts w:eastAsia="Yu Gothic"/>
        </w:rPr>
        <w:t>ICT</w:t>
      </w:r>
      <w:r w:rsidRPr="00381329">
        <w:tab/>
        <w:t>Information and Communications Technology</w:t>
      </w:r>
    </w:p>
    <w:p w14:paraId="02A51F34" w14:textId="5B658373" w:rsidR="00655378" w:rsidRPr="00381329" w:rsidRDefault="00655378" w:rsidP="00B4021E">
      <w:pPr>
        <w:pStyle w:val="EW"/>
        <w:rPr>
          <w:rFonts w:eastAsia="Yu Gothic"/>
        </w:rPr>
      </w:pPr>
      <w:r w:rsidRPr="001D748C">
        <w:rPr>
          <w:rFonts w:eastAsia="Yu Gothic"/>
        </w:rPr>
        <w:t>IoT</w:t>
      </w:r>
      <w:r w:rsidRPr="00381329">
        <w:tab/>
        <w:t>Internet of Things</w:t>
      </w:r>
    </w:p>
    <w:p w14:paraId="3A2E983D" w14:textId="4D098E4E" w:rsidR="00B4021E" w:rsidRDefault="00B4021E" w:rsidP="00B4021E">
      <w:pPr>
        <w:pStyle w:val="EW"/>
      </w:pPr>
      <w:r w:rsidRPr="001D748C">
        <w:rPr>
          <w:rFonts w:eastAsia="Yu Gothic"/>
        </w:rPr>
        <w:t>ISG</w:t>
      </w:r>
      <w:r w:rsidRPr="00381329">
        <w:tab/>
        <w:t>Industry Specification Group</w:t>
      </w:r>
    </w:p>
    <w:p w14:paraId="70D95871" w14:textId="71E38B75" w:rsidR="005D277A" w:rsidRPr="00381329" w:rsidRDefault="005D277A" w:rsidP="005D277A">
      <w:pPr>
        <w:pStyle w:val="EW"/>
        <w:rPr>
          <w:rFonts w:eastAsia="Yu Gothic"/>
        </w:rPr>
      </w:pPr>
      <w:r w:rsidRPr="001D748C">
        <w:rPr>
          <w:rFonts w:eastAsia="Yu Gothic"/>
        </w:rPr>
        <w:t>MBPS</w:t>
      </w:r>
      <w:r w:rsidRPr="00381329">
        <w:tab/>
      </w:r>
      <w:proofErr w:type="spellStart"/>
      <w:r>
        <w:t>MegaBits</w:t>
      </w:r>
      <w:proofErr w:type="spellEnd"/>
      <w:r>
        <w:t xml:space="preserve"> per Second</w:t>
      </w:r>
    </w:p>
    <w:p w14:paraId="305AE8E4" w14:textId="40E28C31" w:rsidR="00B4021E" w:rsidRPr="00381329" w:rsidRDefault="00B4021E" w:rsidP="00B4021E">
      <w:pPr>
        <w:pStyle w:val="EW"/>
        <w:rPr>
          <w:rFonts w:eastAsia="Yu Gothic"/>
        </w:rPr>
      </w:pPr>
      <w:r w:rsidRPr="001D748C">
        <w:rPr>
          <w:rFonts w:eastAsia="Yu Gothic"/>
        </w:rPr>
        <w:t>MEF</w:t>
      </w:r>
      <w:r w:rsidRPr="00381329">
        <w:tab/>
        <w:t>MEF Forum</w:t>
      </w:r>
      <w:r w:rsidR="005D277A">
        <w:t xml:space="preserve"> (Formerly known as “Metro Ethernet Forum”)</w:t>
      </w:r>
    </w:p>
    <w:p w14:paraId="221C3210" w14:textId="77777777" w:rsidR="00B4021E" w:rsidRDefault="00B4021E" w:rsidP="00B4021E">
      <w:pPr>
        <w:pStyle w:val="EW"/>
      </w:pPr>
      <w:r w:rsidRPr="001D748C">
        <w:rPr>
          <w:rFonts w:eastAsia="Yu Gothic"/>
        </w:rPr>
        <w:t>PDL</w:t>
      </w:r>
      <w:r w:rsidRPr="00381329">
        <w:tab/>
        <w:t>Permissioned Distributed Ledger</w:t>
      </w:r>
    </w:p>
    <w:p w14:paraId="2FA5FD70" w14:textId="0F9C4534" w:rsidR="005D277A" w:rsidRPr="00381329" w:rsidRDefault="005D277A" w:rsidP="005D277A">
      <w:pPr>
        <w:pStyle w:val="EW"/>
        <w:rPr>
          <w:rFonts w:eastAsia="Yu Gothic"/>
        </w:rPr>
      </w:pPr>
      <w:r w:rsidRPr="001D748C">
        <w:rPr>
          <w:rFonts w:eastAsia="Yu Gothic"/>
        </w:rPr>
        <w:t>PoC</w:t>
      </w:r>
      <w:r w:rsidRPr="00381329">
        <w:tab/>
      </w:r>
      <w:r>
        <w:t>Proof of Concept</w:t>
      </w:r>
    </w:p>
    <w:p w14:paraId="38737FE7" w14:textId="77777777" w:rsidR="005D277A" w:rsidRPr="005D277A" w:rsidRDefault="00B4021E" w:rsidP="005D277A">
      <w:pPr>
        <w:pStyle w:val="EX"/>
        <w:spacing w:after="0"/>
        <w:rPr>
          <w:rFonts w:eastAsia="Yu Gothic"/>
        </w:rPr>
      </w:pPr>
      <w:r w:rsidRPr="001D748C">
        <w:rPr>
          <w:rFonts w:eastAsia="Yu Gothic"/>
        </w:rPr>
        <w:t>SLA</w:t>
      </w:r>
      <w:r w:rsidRPr="005D277A">
        <w:rPr>
          <w:rFonts w:eastAsia="Yu Gothic"/>
        </w:rPr>
        <w:tab/>
        <w:t>Service Level Agreement</w:t>
      </w:r>
    </w:p>
    <w:p w14:paraId="0172BDFE" w14:textId="45CC5902" w:rsidR="009E5F37" w:rsidRPr="00381329" w:rsidRDefault="00B4021E" w:rsidP="005D277A">
      <w:pPr>
        <w:pStyle w:val="EX"/>
        <w:spacing w:after="0"/>
        <w:rPr>
          <w:rFonts w:eastAsia="Yu Gothic"/>
        </w:rPr>
      </w:pPr>
      <w:r w:rsidRPr="001D748C">
        <w:rPr>
          <w:rFonts w:eastAsia="Yu Gothic"/>
        </w:rPr>
        <w:t>USD</w:t>
      </w:r>
      <w:r w:rsidRPr="005D277A">
        <w:rPr>
          <w:rFonts w:eastAsia="Yu Gothic"/>
        </w:rPr>
        <w:tab/>
      </w:r>
      <w:r w:rsidR="005D277A" w:rsidRPr="005D277A">
        <w:rPr>
          <w:rFonts w:eastAsia="Yu Gothic"/>
        </w:rPr>
        <w:t>United States Dollar</w:t>
      </w:r>
    </w:p>
    <w:p w14:paraId="0FD68B5D" w14:textId="2889213E" w:rsidR="009E5F37" w:rsidRPr="00381329" w:rsidRDefault="00B4021E" w:rsidP="005D277A">
      <w:pPr>
        <w:pStyle w:val="EX"/>
        <w:spacing w:after="0"/>
        <w:rPr>
          <w:rFonts w:eastAsia="Yu Gothic"/>
        </w:rPr>
      </w:pPr>
      <w:r w:rsidRPr="001D748C">
        <w:rPr>
          <w:rFonts w:eastAsia="Yu Gothic"/>
        </w:rPr>
        <w:t>VAT</w:t>
      </w:r>
      <w:r w:rsidRPr="005D277A">
        <w:rPr>
          <w:rFonts w:eastAsia="Yu Gothic"/>
        </w:rPr>
        <w:tab/>
      </w:r>
      <w:r w:rsidR="005D277A">
        <w:t>Value Added Tax</w:t>
      </w:r>
    </w:p>
    <w:p w14:paraId="30940476" w14:textId="390559CA" w:rsidR="002A63B0" w:rsidRPr="00381329" w:rsidRDefault="00A83F00" w:rsidP="00A83F00">
      <w:pPr>
        <w:pStyle w:val="Heading1"/>
      </w:pPr>
      <w:bookmarkStart w:id="62" w:name="_Toc160786985"/>
      <w:bookmarkStart w:id="63" w:name="_Toc161049353"/>
      <w:r w:rsidRPr="00381329">
        <w:t>4</w:t>
      </w:r>
      <w:r w:rsidRPr="00381329">
        <w:tab/>
      </w:r>
      <w:r w:rsidR="002A63B0" w:rsidRPr="00381329">
        <w:t>Management of Data in a multi-domain environment</w:t>
      </w:r>
      <w:bookmarkEnd w:id="62"/>
      <w:bookmarkEnd w:id="63"/>
    </w:p>
    <w:p w14:paraId="0249FAA9" w14:textId="13676F07" w:rsidR="002A63B0" w:rsidRPr="00381329" w:rsidRDefault="002A63B0" w:rsidP="002A63B0">
      <w:pPr>
        <w:pStyle w:val="Heading2"/>
      </w:pPr>
      <w:bookmarkStart w:id="64" w:name="_Toc160786986"/>
      <w:bookmarkStart w:id="65" w:name="_Toc161049354"/>
      <w:r w:rsidRPr="00381329">
        <w:t>4.1</w:t>
      </w:r>
      <w:r w:rsidRPr="00381329">
        <w:tab/>
        <w:t>Introduction</w:t>
      </w:r>
      <w:bookmarkEnd w:id="64"/>
      <w:bookmarkEnd w:id="65"/>
    </w:p>
    <w:p w14:paraId="51F1158E" w14:textId="7E1D2787" w:rsidR="00CA1FAF" w:rsidRPr="00381329" w:rsidRDefault="002A63B0" w:rsidP="00CA1FAF">
      <w:pPr>
        <w:rPr>
          <w:rFonts w:asciiTheme="majorBidi" w:hAnsiTheme="majorBidi" w:cstheme="majorBidi"/>
        </w:rPr>
      </w:pPr>
      <w:r w:rsidRPr="00381329">
        <w:rPr>
          <w:rFonts w:asciiTheme="majorBidi" w:hAnsiTheme="majorBidi" w:cstheme="majorBidi"/>
        </w:rPr>
        <w:t>When handling data in a multi-domain environment the following aspects should be considered:</w:t>
      </w:r>
    </w:p>
    <w:p w14:paraId="36A37147" w14:textId="256B4075" w:rsidR="00CA1FAF" w:rsidRPr="00381329" w:rsidRDefault="002A63B0" w:rsidP="00CA1FAF">
      <w:pPr>
        <w:rPr>
          <w:rFonts w:asciiTheme="majorBidi" w:hAnsiTheme="majorBidi" w:cstheme="majorBidi"/>
        </w:rPr>
      </w:pPr>
      <w:r w:rsidRPr="00381329">
        <w:rPr>
          <w:rFonts w:asciiTheme="majorBidi" w:hAnsiTheme="majorBidi" w:cstheme="majorBidi"/>
        </w:rPr>
        <w:t>The source of data</w:t>
      </w:r>
      <w:r w:rsidR="00CA1FAF" w:rsidRPr="00381329">
        <w:rPr>
          <w:rFonts w:asciiTheme="majorBidi" w:hAnsiTheme="majorBidi" w:cstheme="majorBidi"/>
        </w:rPr>
        <w:t>:</w:t>
      </w:r>
      <w:r w:rsidRPr="00381329">
        <w:rPr>
          <w:rFonts w:asciiTheme="majorBidi" w:hAnsiTheme="majorBidi" w:cstheme="majorBidi"/>
        </w:rPr>
        <w:t xml:space="preserve"> </w:t>
      </w:r>
    </w:p>
    <w:p w14:paraId="1B77E33B" w14:textId="33DDED21" w:rsidR="00CA1FAF" w:rsidRPr="00381329" w:rsidRDefault="002A63B0" w:rsidP="00A42E54">
      <w:pPr>
        <w:pStyle w:val="BL"/>
        <w:numPr>
          <w:ilvl w:val="0"/>
          <w:numId w:val="19"/>
        </w:numPr>
      </w:pPr>
      <w:r w:rsidRPr="00381329">
        <w:t xml:space="preserve">How </w:t>
      </w:r>
      <w:r w:rsidR="005D277A">
        <w:t>is it</w:t>
      </w:r>
      <w:r w:rsidRPr="00381329">
        <w:t xml:space="preserve"> measured? </w:t>
      </w:r>
    </w:p>
    <w:p w14:paraId="785E7AA2" w14:textId="77777777" w:rsidR="00CA1FAF" w:rsidRPr="00381329" w:rsidRDefault="002A63B0" w:rsidP="00A42E54">
      <w:pPr>
        <w:pStyle w:val="BL"/>
        <w:numPr>
          <w:ilvl w:val="0"/>
          <w:numId w:val="19"/>
        </w:numPr>
      </w:pPr>
      <w:r w:rsidRPr="00381329">
        <w:t xml:space="preserve">By whom? </w:t>
      </w:r>
    </w:p>
    <w:p w14:paraId="29229EC4" w14:textId="1DAFB278" w:rsidR="002A63B0" w:rsidRPr="00381329" w:rsidRDefault="002A63B0" w:rsidP="00A42E54">
      <w:pPr>
        <w:pStyle w:val="BL"/>
        <w:numPr>
          <w:ilvl w:val="0"/>
          <w:numId w:val="19"/>
        </w:numPr>
      </w:pPr>
      <w:r w:rsidRPr="00381329">
        <w:t>Can the data be measured by more than one entity or in more than one point?</w:t>
      </w:r>
    </w:p>
    <w:p w14:paraId="6A0CA53F" w14:textId="77777777" w:rsidR="00CA1FAF" w:rsidRPr="00381329" w:rsidRDefault="002A63B0" w:rsidP="002A63B0">
      <w:r w:rsidRPr="00381329">
        <w:t xml:space="preserve">The different </w:t>
      </w:r>
      <w:r w:rsidR="00E14FFC" w:rsidRPr="00381329">
        <w:t>characteristics</w:t>
      </w:r>
      <w:r w:rsidRPr="00381329">
        <w:t xml:space="preserve"> of data: </w:t>
      </w:r>
    </w:p>
    <w:p w14:paraId="372A553D" w14:textId="08536D84" w:rsidR="00CA1FAF" w:rsidRPr="00381329" w:rsidRDefault="002A63B0" w:rsidP="00A42E54">
      <w:pPr>
        <w:pStyle w:val="BL"/>
        <w:numPr>
          <w:ilvl w:val="0"/>
          <w:numId w:val="20"/>
        </w:numPr>
      </w:pPr>
      <w:r w:rsidRPr="00381329">
        <w:t>The direct or derived commercial value</w:t>
      </w:r>
      <w:r w:rsidR="00CA1FAF" w:rsidRPr="00381329">
        <w:t xml:space="preserve"> of the data or that the data defines/describes</w:t>
      </w:r>
      <w:r w:rsidR="00E14FFC" w:rsidRPr="00381329">
        <w:t xml:space="preserve">. </w:t>
      </w:r>
    </w:p>
    <w:p w14:paraId="60F3F6CB" w14:textId="77777777" w:rsidR="00CA1FAF" w:rsidRPr="00381329" w:rsidRDefault="00E14FFC" w:rsidP="00A42E54">
      <w:pPr>
        <w:pStyle w:val="BL"/>
      </w:pPr>
      <w:r w:rsidRPr="00381329">
        <w:t xml:space="preserve">The volume of data. </w:t>
      </w:r>
    </w:p>
    <w:p w14:paraId="6B9F733F" w14:textId="6C8A717B" w:rsidR="00CA1FAF" w:rsidRPr="00381329" w:rsidRDefault="00E14FFC" w:rsidP="00A42E54">
      <w:pPr>
        <w:pStyle w:val="BL"/>
      </w:pPr>
      <w:r w:rsidRPr="00381329">
        <w:t>The cost of transacting the data.</w:t>
      </w:r>
    </w:p>
    <w:p w14:paraId="470DB071" w14:textId="30313350" w:rsidR="00E14FFC" w:rsidRPr="00381329" w:rsidRDefault="00E14FFC" w:rsidP="002A63B0">
      <w:r w:rsidRPr="00381329">
        <w:t xml:space="preserve">The following </w:t>
      </w:r>
      <w:r w:rsidR="00403A45">
        <w:t>clauses</w:t>
      </w:r>
      <w:r w:rsidRPr="00381329">
        <w:t xml:space="preserve"> discuss the above in detail.</w:t>
      </w:r>
    </w:p>
    <w:p w14:paraId="5E47B9A5" w14:textId="39BA44D9" w:rsidR="002A63B0" w:rsidRPr="00381329" w:rsidRDefault="002A63B0" w:rsidP="002A63B0">
      <w:pPr>
        <w:pStyle w:val="Heading2"/>
      </w:pPr>
      <w:bookmarkStart w:id="66" w:name="_Toc160786987"/>
      <w:bookmarkStart w:id="67" w:name="_Toc161049355"/>
      <w:r w:rsidRPr="00381329">
        <w:lastRenderedPageBreak/>
        <w:t>4.2</w:t>
      </w:r>
      <w:r w:rsidRPr="00381329">
        <w:tab/>
        <w:t>Sources of data</w:t>
      </w:r>
      <w:bookmarkEnd w:id="66"/>
      <w:bookmarkEnd w:id="67"/>
    </w:p>
    <w:p w14:paraId="7282FC5B" w14:textId="6AC0DF92" w:rsidR="002A63B0" w:rsidRPr="00381329" w:rsidRDefault="00E14FFC" w:rsidP="00E14FFC">
      <w:pPr>
        <w:pStyle w:val="Heading3"/>
      </w:pPr>
      <w:bookmarkStart w:id="68" w:name="_Ref160446017"/>
      <w:bookmarkStart w:id="69" w:name="_Toc160786988"/>
      <w:bookmarkStart w:id="70" w:name="_Toc161049356"/>
      <w:r w:rsidRPr="00381329">
        <w:t>4.2.1</w:t>
      </w:r>
      <w:r w:rsidRPr="00381329">
        <w:tab/>
        <w:t>Single-Sourced data</w:t>
      </w:r>
      <w:bookmarkEnd w:id="68"/>
      <w:bookmarkEnd w:id="69"/>
      <w:bookmarkEnd w:id="70"/>
    </w:p>
    <w:p w14:paraId="13275E33" w14:textId="54C360C8" w:rsidR="00E14FFC" w:rsidRPr="00381329" w:rsidRDefault="00E14FFC" w:rsidP="002A63B0">
      <w:r w:rsidRPr="00381329">
        <w:t xml:space="preserve">In many instances there is only a single source of data. In such events even when multiple parties use such data, they are all dependent on that single source and in the event of dispute the different parties </w:t>
      </w:r>
      <w:r w:rsidR="00743E15" w:rsidRPr="00381329">
        <w:t>cannot</w:t>
      </w:r>
      <w:r w:rsidRPr="00381329">
        <w:t xml:space="preserve"> provide alternative data to contradict that single source of data. There may be disputes on interpretation of data or on assignment of a commercial value to such data, but the data itself </w:t>
      </w:r>
      <w:r w:rsidR="00743E15" w:rsidRPr="00381329">
        <w:t>cannot be</w:t>
      </w:r>
      <w:r w:rsidRPr="00381329">
        <w:t xml:space="preserve"> disputed.</w:t>
      </w:r>
    </w:p>
    <w:p w14:paraId="60BD6610" w14:textId="326F5B29" w:rsidR="00914E95" w:rsidRPr="00381329" w:rsidRDefault="00E14FFC" w:rsidP="00A42E54">
      <w:pPr>
        <w:pStyle w:val="EX"/>
      </w:pPr>
      <w:r w:rsidRPr="00381329">
        <w:t>E</w:t>
      </w:r>
      <w:r w:rsidR="00A42E54" w:rsidRPr="00381329">
        <w:t>XAMPLE</w:t>
      </w:r>
      <w:r w:rsidRPr="00381329">
        <w:t>:</w:t>
      </w:r>
      <w:r w:rsidR="00A42E54" w:rsidRPr="00381329">
        <w:tab/>
      </w:r>
      <w:r w:rsidRPr="00381329">
        <w:t xml:space="preserve">When a mobile device is roaming from its home operator to a hosting operator the measurement of call duration and data consumption is done by the hosting operator. The roaming user and the home operator both do not have the ability to measure call duration or data consumption thus are unable to provide alternative measurements to contradict the </w:t>
      </w:r>
      <w:r w:rsidR="00914E95" w:rsidRPr="00381329">
        <w:t>measurements of the hosting operator. There may be a dispute over the rates applied to the measured data (e.g. the home operator may argue that the hosting operator has applied a higher per-minute or per-kilobit rate than agreed) but there is no way for the home operator to prove a possible claim that the duration of calls or volume of data consumed by the roaming user was different than the measurements made by the hosting operator.</w:t>
      </w:r>
    </w:p>
    <w:p w14:paraId="36511059" w14:textId="0736CC86" w:rsidR="00E14FFC" w:rsidRPr="00381329" w:rsidRDefault="00E14FFC" w:rsidP="00E14FFC">
      <w:pPr>
        <w:pStyle w:val="Heading3"/>
      </w:pPr>
      <w:bookmarkStart w:id="71" w:name="_Ref160446140"/>
      <w:bookmarkStart w:id="72" w:name="_Toc160786989"/>
      <w:bookmarkStart w:id="73" w:name="_Toc161049357"/>
      <w:r w:rsidRPr="00381329">
        <w:t>4.2.2</w:t>
      </w:r>
      <w:r w:rsidRPr="00381329">
        <w:tab/>
      </w:r>
      <w:proofErr w:type="gramStart"/>
      <w:r w:rsidRPr="00381329">
        <w:t>Multi-Sourced</w:t>
      </w:r>
      <w:proofErr w:type="gramEnd"/>
      <w:r w:rsidRPr="00381329">
        <w:t xml:space="preserve"> data</w:t>
      </w:r>
      <w:bookmarkEnd w:id="71"/>
      <w:bookmarkEnd w:id="72"/>
      <w:bookmarkEnd w:id="73"/>
    </w:p>
    <w:p w14:paraId="153311A1" w14:textId="2EFD0447" w:rsidR="004F7D2F" w:rsidRPr="00381329" w:rsidRDefault="004E4B7B" w:rsidP="004F7D2F">
      <w:pPr>
        <w:rPr>
          <w:rFonts w:asciiTheme="majorBidi" w:hAnsiTheme="majorBidi" w:cstheme="majorBidi"/>
        </w:rPr>
      </w:pPr>
      <w:r w:rsidRPr="00381329">
        <w:t xml:space="preserve">When data can be measured by more than one entity and/or in more than one location, it is considered </w:t>
      </w:r>
      <w:proofErr w:type="gramStart"/>
      <w:r w:rsidRPr="00381329">
        <w:t>Multi-Sourced</w:t>
      </w:r>
      <w:proofErr w:type="gramEnd"/>
      <w:r w:rsidRPr="00381329">
        <w:t xml:space="preserve">. </w:t>
      </w:r>
      <w:r w:rsidR="00743E15" w:rsidRPr="00381329">
        <w:t>There may be discrepancies between data</w:t>
      </w:r>
      <w:r w:rsidRPr="00381329">
        <w:t xml:space="preserve"> </w:t>
      </w:r>
      <w:r w:rsidR="004F7D2F" w:rsidRPr="00381329">
        <w:t>generate</w:t>
      </w:r>
      <w:r w:rsidR="00743E15" w:rsidRPr="00381329">
        <w:t>d</w:t>
      </w:r>
      <w:r w:rsidR="004F7D2F" w:rsidRPr="00381329">
        <w:t xml:space="preserve"> for a certain event</w:t>
      </w:r>
      <w:r w:rsidR="00743E15" w:rsidRPr="00381329">
        <w:t xml:space="preserve"> by different sources.</w:t>
      </w:r>
      <w:r w:rsidR="004F7D2F" w:rsidRPr="00381329">
        <w:t xml:space="preserve"> The reasons for such discrepancies can be:</w:t>
      </w:r>
    </w:p>
    <w:p w14:paraId="4EA7EF68" w14:textId="2F135F12" w:rsidR="00E14FFC" w:rsidRPr="00381329" w:rsidRDefault="004F7D2F" w:rsidP="00A42E54">
      <w:pPr>
        <w:pStyle w:val="BL"/>
        <w:numPr>
          <w:ilvl w:val="0"/>
          <w:numId w:val="21"/>
        </w:numPr>
      </w:pPr>
      <w:r w:rsidRPr="00381329">
        <w:t>Different measurement methods.</w:t>
      </w:r>
    </w:p>
    <w:p w14:paraId="6BA8F1BD" w14:textId="19DEBA6C" w:rsidR="004F7D2F" w:rsidRPr="00381329" w:rsidRDefault="004F7D2F" w:rsidP="00A42E54">
      <w:pPr>
        <w:pStyle w:val="BL"/>
        <w:numPr>
          <w:ilvl w:val="0"/>
          <w:numId w:val="21"/>
        </w:numPr>
      </w:pPr>
      <w:r w:rsidRPr="00381329">
        <w:t>Different Measurement equipment/calibration.</w:t>
      </w:r>
    </w:p>
    <w:p w14:paraId="139322DC" w14:textId="38AC7A71" w:rsidR="004F7D2F" w:rsidRPr="00381329" w:rsidRDefault="004F7D2F" w:rsidP="00A42E54">
      <w:pPr>
        <w:pStyle w:val="BL"/>
        <w:numPr>
          <w:ilvl w:val="0"/>
          <w:numId w:val="21"/>
        </w:numPr>
      </w:pPr>
      <w:r w:rsidRPr="00381329">
        <w:t>Measurements at different points along the path of flow of information</w:t>
      </w:r>
      <w:r w:rsidR="00933238" w:rsidRPr="00381329">
        <w:t>/matter</w:t>
      </w:r>
      <w:r w:rsidRPr="00381329">
        <w:t xml:space="preserve"> which may be subject to data loss/corruption.</w:t>
      </w:r>
    </w:p>
    <w:p w14:paraId="3C8F9341" w14:textId="0405B238" w:rsidR="00743E15" w:rsidRPr="00381329" w:rsidRDefault="004F7D2F" w:rsidP="00A42E54">
      <w:pPr>
        <w:pStyle w:val="BL"/>
        <w:numPr>
          <w:ilvl w:val="0"/>
          <w:numId w:val="21"/>
        </w:numPr>
      </w:pPr>
      <w:r w:rsidRPr="00381329">
        <w:t>Others.</w:t>
      </w:r>
    </w:p>
    <w:p w14:paraId="6CABEA9A" w14:textId="6B1630CF" w:rsidR="004F7D2F" w:rsidRPr="00381329" w:rsidRDefault="004F7D2F" w:rsidP="00A42E54">
      <w:r w:rsidRPr="00381329">
        <w:t xml:space="preserve">When different </w:t>
      </w:r>
      <w:r w:rsidR="00743E15" w:rsidRPr="00381329">
        <w:t>entities</w:t>
      </w:r>
      <w:r w:rsidRPr="00381329">
        <w:t xml:space="preserve"> can present different measurements for the same event </w:t>
      </w:r>
      <w:r w:rsidR="000B749F" w:rsidRPr="00381329">
        <w:t>-</w:t>
      </w:r>
      <w:r w:rsidRPr="00381329">
        <w:t xml:space="preserve"> </w:t>
      </w:r>
      <w:r w:rsidR="006329BB" w:rsidRPr="00381329">
        <w:t>each entity</w:t>
      </w:r>
      <w:r w:rsidRPr="00381329">
        <w:t xml:space="preserve"> </w:t>
      </w:r>
      <w:r w:rsidR="00CA1FAF" w:rsidRPr="00381329">
        <w:t>may</w:t>
      </w:r>
      <w:r w:rsidRPr="00381329">
        <w:t xml:space="preserve"> dispute the measurements presented by the other entity. In such event the parties may choose to go through a dispute resolution process and reconcile.</w:t>
      </w:r>
    </w:p>
    <w:p w14:paraId="5AA83959" w14:textId="1744A12C" w:rsidR="004F7D2F" w:rsidRPr="00381329" w:rsidRDefault="004F7D2F" w:rsidP="00A42E54">
      <w:pPr>
        <w:pStyle w:val="EX"/>
      </w:pPr>
      <w:r w:rsidRPr="00381329">
        <w:t>EXAMPLE:</w:t>
      </w:r>
      <w:r w:rsidR="00A42E54" w:rsidRPr="00381329">
        <w:tab/>
      </w:r>
      <w:r w:rsidRPr="00381329">
        <w:t>When a telecom carrier routes an international telephone call to another telecom carrier each carrier generates a Call Details Record ("</w:t>
      </w:r>
      <w:r w:rsidRPr="001D748C">
        <w:t>CDR</w:t>
      </w:r>
      <w:r>
        <w:t xml:space="preserve">") for that call. The </w:t>
      </w:r>
      <w:r w:rsidRPr="001D748C">
        <w:t>CDR</w:t>
      </w:r>
      <w:r>
        <w:t xml:space="preserve"> includes certain data such as call duration, originating </w:t>
      </w:r>
      <w:r w:rsidR="006329BB" w:rsidRPr="00381329">
        <w:t>number</w:t>
      </w:r>
      <w:r w:rsidRPr="00381329">
        <w:t xml:space="preserve"> of </w:t>
      </w:r>
      <w:r w:rsidR="00655378" w:rsidRPr="00381329">
        <w:t xml:space="preserve">the </w:t>
      </w:r>
      <w:r w:rsidRPr="00381329">
        <w:t xml:space="preserve">call, destination </w:t>
      </w:r>
      <w:r w:rsidR="00655378" w:rsidRPr="00381329">
        <w:t xml:space="preserve">number of the call. Such attributes determine the commercial value of that call: the monetary amount that the </w:t>
      </w:r>
      <w:r w:rsidR="00933238" w:rsidRPr="00381329">
        <w:t>sending</w:t>
      </w:r>
      <w:r w:rsidRPr="00381329">
        <w:t xml:space="preserve"> carrier </w:t>
      </w:r>
      <w:r w:rsidR="006329BB" w:rsidRPr="00381329">
        <w:t xml:space="preserve">is obligated to pay to the </w:t>
      </w:r>
      <w:r w:rsidR="00933238" w:rsidRPr="00381329">
        <w:t>receiving</w:t>
      </w:r>
      <w:r w:rsidR="006329BB" w:rsidRPr="00381329">
        <w:t xml:space="preserve"> carrier for extending the call to its destination. There may be instances where the </w:t>
      </w:r>
      <w:r w:rsidRPr="001D748C">
        <w:t>CDRs</w:t>
      </w:r>
      <w:r>
        <w:t xml:space="preserve"> generated by the </w:t>
      </w:r>
      <w:r w:rsidR="00933238" w:rsidRPr="00381329">
        <w:t>sending</w:t>
      </w:r>
      <w:r w:rsidR="006329BB" w:rsidRPr="00381329">
        <w:t xml:space="preserve"> carrier and the </w:t>
      </w:r>
      <w:r w:rsidR="00933238" w:rsidRPr="00381329">
        <w:t>receiving</w:t>
      </w:r>
      <w:r w:rsidR="006329BB" w:rsidRPr="00381329">
        <w:t xml:space="preserve"> carrier differ (e.g. the call duration does not match). In such instances the carriers may debate until they reconcile and agree on a value (or a monetary amount) to be used for settlement of the </w:t>
      </w:r>
      <w:r w:rsidRPr="001D748C">
        <w:t>CDR</w:t>
      </w:r>
      <w:r>
        <w:t>.</w:t>
      </w:r>
    </w:p>
    <w:p w14:paraId="278EA23B" w14:textId="06A144A4" w:rsidR="006329BB" w:rsidRPr="00381329" w:rsidRDefault="00101F55" w:rsidP="004F7D2F">
      <w:pPr>
        <w:rPr>
          <w:rFonts w:asciiTheme="majorBidi" w:hAnsiTheme="majorBidi" w:cstheme="majorBidi"/>
        </w:rPr>
      </w:pPr>
      <w:r w:rsidRPr="00381329">
        <w:rPr>
          <w:rFonts w:asciiTheme="majorBidi" w:hAnsiTheme="majorBidi"/>
        </w:rPr>
        <w:fldChar w:fldCharType="begin"/>
      </w:r>
      <w:r w:rsidRPr="00381329">
        <w:rPr>
          <w:rFonts w:asciiTheme="majorBidi" w:hAnsiTheme="majorBidi"/>
        </w:rPr>
        <w:instrText xml:space="preserve"> REF _Ref150157326 \h </w:instrText>
      </w:r>
      <w:r w:rsidRPr="00381329">
        <w:rPr>
          <w:rFonts w:asciiTheme="majorBidi" w:hAnsiTheme="majorBidi"/>
        </w:rPr>
      </w:r>
      <w:r w:rsidRPr="00381329">
        <w:rPr>
          <w:rFonts w:asciiTheme="majorBidi" w:hAnsiTheme="majorBidi"/>
        </w:rPr>
        <w:fldChar w:fldCharType="separate"/>
      </w:r>
      <w:r w:rsidR="00654C79" w:rsidRPr="00381329">
        <w:t xml:space="preserve">Figure </w:t>
      </w:r>
      <w:r w:rsidRPr="001D748C">
        <w:t>1</w:t>
      </w:r>
      <w:r w:rsidRPr="00381329">
        <w:rPr>
          <w:rFonts w:asciiTheme="majorBidi" w:hAnsiTheme="majorBidi"/>
        </w:rPr>
        <w:fldChar w:fldCharType="end"/>
      </w:r>
      <w:r w:rsidR="006329BB" w:rsidRPr="00381329">
        <w:rPr>
          <w:rFonts w:asciiTheme="majorBidi" w:hAnsiTheme="majorBidi"/>
        </w:rPr>
        <w:t xml:space="preserve"> herewith depicts the </w:t>
      </w:r>
      <w:r w:rsidRPr="00381329">
        <w:rPr>
          <w:rFonts w:asciiTheme="majorBidi" w:hAnsiTheme="majorBidi"/>
        </w:rPr>
        <w:t>differences between Single-Sourced and Multi-Sourced data.</w:t>
      </w:r>
    </w:p>
    <w:p w14:paraId="36470E62" w14:textId="1FD73E69" w:rsidR="006329BB" w:rsidRPr="00381329" w:rsidRDefault="006329BB" w:rsidP="00A42E54">
      <w:pPr>
        <w:pStyle w:val="FL"/>
      </w:pPr>
      <w:r w:rsidRPr="00381329">
        <w:rPr>
          <w:noProof/>
        </w:rPr>
        <w:drawing>
          <wp:inline distT="0" distB="0" distL="0" distR="0" wp14:anchorId="1F820DD3" wp14:editId="655FAB78">
            <wp:extent cx="4282465" cy="1445260"/>
            <wp:effectExtent l="0" t="0" r="0" b="2540"/>
            <wp:docPr id="151880686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806864" name="Picture 1" descr="A screenshot of a compute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53321" cy="1536669"/>
                    </a:xfrm>
                    <a:prstGeom prst="rect">
                      <a:avLst/>
                    </a:prstGeom>
                  </pic:spPr>
                </pic:pic>
              </a:graphicData>
            </a:graphic>
          </wp:inline>
        </w:drawing>
      </w:r>
    </w:p>
    <w:p w14:paraId="6CC333E7" w14:textId="7D0AB039" w:rsidR="00101F55" w:rsidRPr="00381329" w:rsidRDefault="00101F55" w:rsidP="00A42E54">
      <w:pPr>
        <w:pStyle w:val="TF"/>
        <w:rPr>
          <w:rFonts w:asciiTheme="majorBidi" w:hAnsiTheme="majorBidi" w:cstheme="majorBidi"/>
        </w:rPr>
      </w:pPr>
      <w:bookmarkStart w:id="74" w:name="_Ref150157326"/>
      <w:r w:rsidRPr="00381329">
        <w:t xml:space="preserve">Figure </w:t>
      </w:r>
      <w:r w:rsidR="00403A45">
        <w:fldChar w:fldCharType="begin"/>
      </w:r>
      <w:r w:rsidR="00403A45">
        <w:instrText xml:space="preserve"> SEQ Figure \* ARABIC </w:instrText>
      </w:r>
      <w:r w:rsidR="00403A45">
        <w:fldChar w:fldCharType="separate"/>
      </w:r>
      <w:r w:rsidR="00654C79" w:rsidRPr="00381329">
        <w:t>1</w:t>
      </w:r>
      <w:r w:rsidR="00403A45">
        <w:fldChar w:fldCharType="end"/>
      </w:r>
      <w:bookmarkEnd w:id="74"/>
      <w:r w:rsidR="00A42E54" w:rsidRPr="00381329">
        <w:t>:</w:t>
      </w:r>
      <w:r w:rsidRPr="00381329">
        <w:t xml:space="preserve"> Single and Multi-sourced </w:t>
      </w:r>
      <w:proofErr w:type="gramStart"/>
      <w:r w:rsidRPr="00381329">
        <w:t>data</w:t>
      </w:r>
      <w:proofErr w:type="gramEnd"/>
    </w:p>
    <w:p w14:paraId="362063E0" w14:textId="5A731C01" w:rsidR="002A63B0" w:rsidRPr="00381329" w:rsidRDefault="002A63B0" w:rsidP="002A63B0">
      <w:pPr>
        <w:pStyle w:val="Heading2"/>
      </w:pPr>
      <w:bookmarkStart w:id="75" w:name="_Toc160786990"/>
      <w:bookmarkStart w:id="76" w:name="_Toc161049358"/>
      <w:r w:rsidRPr="00381329">
        <w:lastRenderedPageBreak/>
        <w:t>4.3</w:t>
      </w:r>
      <w:r w:rsidRPr="00381329">
        <w:tab/>
      </w:r>
      <w:r w:rsidR="00E14FFC" w:rsidRPr="00381329">
        <w:t>Characteristics</w:t>
      </w:r>
      <w:r w:rsidRPr="00381329">
        <w:t xml:space="preserve"> of Data</w:t>
      </w:r>
      <w:bookmarkEnd w:id="75"/>
      <w:bookmarkEnd w:id="76"/>
    </w:p>
    <w:p w14:paraId="4441149D" w14:textId="28F524C0" w:rsidR="00101F55" w:rsidRPr="00381329" w:rsidRDefault="00101F55" w:rsidP="00101F55">
      <w:pPr>
        <w:pStyle w:val="Heading3"/>
      </w:pPr>
      <w:bookmarkStart w:id="77" w:name="_Toc160786991"/>
      <w:bookmarkStart w:id="78" w:name="_Toc161049359"/>
      <w:r w:rsidRPr="00381329">
        <w:t>4.3.1</w:t>
      </w:r>
      <w:r w:rsidRPr="00381329">
        <w:tab/>
        <w:t>Introduction</w:t>
      </w:r>
      <w:bookmarkEnd w:id="77"/>
      <w:bookmarkEnd w:id="78"/>
    </w:p>
    <w:p w14:paraId="5AFAAFB8" w14:textId="33FF049C" w:rsidR="00101F55" w:rsidRPr="00381329" w:rsidRDefault="00101F55" w:rsidP="00101F55">
      <w:r w:rsidRPr="00381329">
        <w:t xml:space="preserve">Measured data may have multiple characteristics that may affect the way data is measured, collected, stored, calculated, </w:t>
      </w:r>
      <w:proofErr w:type="gramStart"/>
      <w:r w:rsidR="00933238" w:rsidRPr="00381329">
        <w:t>reconciled</w:t>
      </w:r>
      <w:proofErr w:type="gramEnd"/>
      <w:r w:rsidRPr="00381329">
        <w:t xml:space="preserve"> and settled.</w:t>
      </w:r>
    </w:p>
    <w:p w14:paraId="7F24CE74" w14:textId="7AAAD6FE" w:rsidR="00101F55" w:rsidRPr="00381329" w:rsidRDefault="00101F55" w:rsidP="00101F55">
      <w:pPr>
        <w:pStyle w:val="Heading3"/>
      </w:pPr>
      <w:bookmarkStart w:id="79" w:name="_Toc160786992"/>
      <w:bookmarkStart w:id="80" w:name="_Toc161049360"/>
      <w:r w:rsidRPr="00381329">
        <w:t>4.3.2</w:t>
      </w:r>
      <w:r w:rsidRPr="00381329">
        <w:tab/>
        <w:t>Commercial value</w:t>
      </w:r>
      <w:bookmarkEnd w:id="79"/>
      <w:bookmarkEnd w:id="80"/>
      <w:r w:rsidRPr="00381329">
        <w:t xml:space="preserve"> </w:t>
      </w:r>
    </w:p>
    <w:p w14:paraId="21CA9EC3" w14:textId="27B0EE3B" w:rsidR="00101F55" w:rsidRPr="00381329" w:rsidRDefault="00CC4C39" w:rsidP="00101F55">
      <w:r w:rsidRPr="00381329">
        <w:t xml:space="preserve">The commercial value of measured data may have </w:t>
      </w:r>
      <w:r w:rsidR="00060DE0" w:rsidRPr="00381329">
        <w:t>effect</w:t>
      </w:r>
      <w:r w:rsidRPr="00381329">
        <w:t xml:space="preserve"> </w:t>
      </w:r>
      <w:r w:rsidR="00D77DFB" w:rsidRPr="00381329">
        <w:t>on</w:t>
      </w:r>
      <w:r w:rsidRPr="00381329">
        <w:t xml:space="preserve"> the way </w:t>
      </w:r>
      <w:r w:rsidR="00D77DFB" w:rsidRPr="00381329">
        <w:t>the data</w:t>
      </w:r>
      <w:r w:rsidRPr="00381329">
        <w:t xml:space="preserve"> is measured (frequency</w:t>
      </w:r>
      <w:r w:rsidR="00933238" w:rsidRPr="00381329">
        <w:t xml:space="preserve"> of measurements, level of </w:t>
      </w:r>
      <w:r w:rsidRPr="00381329">
        <w:t xml:space="preserve">accuracy/tolerance, number of measurement points) </w:t>
      </w:r>
      <w:r w:rsidR="00D77DFB" w:rsidRPr="00381329">
        <w:t xml:space="preserve">and the way it is reconciled and settled. The commercial value of a transaction can range from a fraction of a cent per transaction (e.g. </w:t>
      </w:r>
      <w:r w:rsidRPr="001D748C">
        <w:t>IoT</w:t>
      </w:r>
      <w:r>
        <w:t xml:space="preserve"> transactions) to hundreds or thousands of Euro/Dollar per transaction (e.g. trading precious metals, wholesale energy consumption, car rentals).</w:t>
      </w:r>
      <w:r>
        <w:br/>
        <w:t xml:space="preserve">As a general rule, though not mandatory, the higher the commercial value of the data </w:t>
      </w:r>
      <w:r w:rsidR="00A42E54" w:rsidRPr="00381329">
        <w:t>-</w:t>
      </w:r>
      <w:r w:rsidR="00D77DFB" w:rsidRPr="00381329">
        <w:t xml:space="preserve"> the more accurate </w:t>
      </w:r>
      <w:r w:rsidR="008B46A5" w:rsidRPr="00381329">
        <w:t>the measurement should be and the more measurement points there should be.</w:t>
      </w:r>
    </w:p>
    <w:p w14:paraId="58EDE1E1" w14:textId="42A3934F" w:rsidR="006E6F23" w:rsidRPr="00381329" w:rsidRDefault="006E6F23" w:rsidP="00101F55">
      <w:r w:rsidRPr="001D748C">
        <w:t>MEF</w:t>
      </w:r>
      <w:r>
        <w:t xml:space="preserve">-74 </w:t>
      </w:r>
      <w:r w:rsidR="00403A45" w:rsidRPr="00403A45">
        <w:t>[</w:t>
      </w:r>
      <w:r w:rsidR="00403A45" w:rsidRPr="00403A45">
        <w:fldChar w:fldCharType="begin"/>
      </w:r>
      <w:r w:rsidR="00403A45" w:rsidRPr="00403A45">
        <w:instrText xml:space="preserve">REF REF_MEFFORUMMEF_74DECEMBER2018 \h </w:instrText>
      </w:r>
      <w:r w:rsidR="00403A45" w:rsidRPr="00403A45">
        <w:fldChar w:fldCharType="separate"/>
      </w:r>
      <w:r w:rsidR="00403A45" w:rsidRPr="00403A45">
        <w:t>i.</w:t>
      </w:r>
      <w:r w:rsidR="00403A45" w:rsidRPr="00403A45">
        <w:rPr>
          <w:noProof/>
        </w:rPr>
        <w:t>1</w:t>
      </w:r>
      <w:r w:rsidR="00403A45" w:rsidRPr="00403A45">
        <w:fldChar w:fldCharType="end"/>
      </w:r>
      <w:r w:rsidR="00403A45" w:rsidRPr="00403A45">
        <w:t>]</w:t>
      </w:r>
      <w:r>
        <w:t xml:space="preserve"> defines attributes that affect the commercial value of measured data with focus on </w:t>
      </w:r>
      <w:r w:rsidRPr="001D748C">
        <w:t>MEF</w:t>
      </w:r>
      <w:r>
        <w:t xml:space="preserve"> services (Carrier Ethernet and Layer-3).</w:t>
      </w:r>
      <w:r w:rsidR="00933238" w:rsidRPr="00381329">
        <w:t xml:space="preserve"> Most of the commercial affecting attributes defined in that document may apply to other </w:t>
      </w:r>
      <w:r w:rsidRPr="001D748C">
        <w:t>ICT</w:t>
      </w:r>
      <w:r>
        <w:t xml:space="preserve"> services.</w:t>
      </w:r>
    </w:p>
    <w:p w14:paraId="507AFDCE" w14:textId="0C7C308C" w:rsidR="008B46A5" w:rsidRPr="00381329" w:rsidRDefault="008B46A5" w:rsidP="00A42E54">
      <w:pPr>
        <w:pStyle w:val="EX"/>
      </w:pPr>
      <w:r w:rsidRPr="00381329">
        <w:t>EXAMPLE:</w:t>
      </w:r>
      <w:r w:rsidR="00A42E54" w:rsidRPr="00381329">
        <w:tab/>
      </w:r>
      <w:r w:rsidRPr="00381329">
        <w:t>When shipping crude oil from the wells to the refinery it is likely that the amount being shipped is measured both at the well and at the refinery by two separate entities</w:t>
      </w:r>
      <w:r w:rsidR="00655378" w:rsidRPr="00381329">
        <w:t xml:space="preserve"> (and possibly at additional points along the route such as shipping loading docks</w:t>
      </w:r>
      <w:r w:rsidR="00655378" w:rsidRPr="00374555">
        <w:t>, etc.</w:t>
      </w:r>
      <w:r w:rsidR="00655378" w:rsidRPr="00381329">
        <w:t xml:space="preserve">), whereas in the event of </w:t>
      </w:r>
      <w:r w:rsidRPr="001D748C">
        <w:t>IoT</w:t>
      </w:r>
      <w:r>
        <w:t xml:space="preserve"> </w:t>
      </w:r>
      <w:r w:rsidR="00655378" w:rsidRPr="00381329">
        <w:t>data</w:t>
      </w:r>
      <w:r w:rsidRPr="00381329">
        <w:t xml:space="preserve"> is often only measured at one point.</w:t>
      </w:r>
      <w:r w:rsidR="00933238" w:rsidRPr="00381329">
        <w:t xml:space="preserve"> By applying multiple </w:t>
      </w:r>
      <w:r w:rsidR="00BA1127" w:rsidRPr="00381329">
        <w:t xml:space="preserve">measurement points the entities involved in crude oil supply chains (well operators, pipeline operators, ship operators, refineries etc.) can apply a commercial value to the crude oil traversing the supply chain and settle the payments between themselves. Note that different commercial values may be applied to the crude oil as it traverses the supply chain. E.g. the commercial value of crude oil off-loaded from a ship may be higher than the commercial value of the crude oil when it was loaded to the ship, as it now includes the cost of shipping, insurance, tax </w:t>
      </w:r>
      <w:r w:rsidR="00F911F5" w:rsidRPr="00381329">
        <w:t>etc.</w:t>
      </w:r>
      <w:r w:rsidR="00BA1127" w:rsidRPr="00381329">
        <w:t xml:space="preserve"> Such commercial value is agreed between the buyer and seller at each transaction point along the way, and may also be subject to regulations, tax, and other levies.</w:t>
      </w:r>
    </w:p>
    <w:p w14:paraId="47395030" w14:textId="0A3BED74" w:rsidR="007744BF" w:rsidRPr="00381329" w:rsidRDefault="00A42E54" w:rsidP="00A42E54">
      <w:pPr>
        <w:pStyle w:val="EX"/>
      </w:pPr>
      <w:r w:rsidRPr="00381329">
        <w:rPr>
          <w:b/>
          <w:bCs/>
        </w:rPr>
        <w:t>[</w:t>
      </w:r>
      <w:r w:rsidRPr="001D748C">
        <w:rPr>
          <w:b/>
          <w:bCs/>
        </w:rPr>
        <w:t>R1</w:t>
      </w:r>
      <w:r>
        <w:rPr>
          <w:b/>
          <w:bCs/>
        </w:rPr>
        <w:t>]</w:t>
      </w:r>
      <w:r w:rsidRPr="00381329">
        <w:tab/>
      </w:r>
      <w:r w:rsidR="007744BF" w:rsidRPr="00381329">
        <w:t xml:space="preserve">The commercial value of goods </w:t>
      </w:r>
      <w:r w:rsidR="007744BF" w:rsidRPr="001D748C">
        <w:rPr>
          <w:b/>
          <w:bCs/>
        </w:rPr>
        <w:t>SHALL</w:t>
      </w:r>
      <w:r w:rsidR="007744BF" w:rsidRPr="00381329">
        <w:t xml:space="preserve"> be agreed between each pair of buyer and seller along a supply chain.</w:t>
      </w:r>
    </w:p>
    <w:p w14:paraId="3056C080" w14:textId="3A48F239" w:rsidR="007744BF" w:rsidRPr="00381329" w:rsidRDefault="00A42E54" w:rsidP="00A42E54">
      <w:pPr>
        <w:pStyle w:val="EX"/>
      </w:pPr>
      <w:r w:rsidRPr="00381329">
        <w:rPr>
          <w:b/>
          <w:bCs/>
        </w:rPr>
        <w:t>[</w:t>
      </w:r>
      <w:r w:rsidRPr="001D748C">
        <w:rPr>
          <w:b/>
          <w:bCs/>
        </w:rPr>
        <w:t>D1</w:t>
      </w:r>
      <w:r>
        <w:rPr>
          <w:b/>
          <w:bCs/>
        </w:rPr>
        <w:t>]</w:t>
      </w:r>
      <w:r w:rsidRPr="00381329">
        <w:rPr>
          <w:b/>
          <w:bCs/>
        </w:rPr>
        <w:tab/>
      </w:r>
      <w:r w:rsidR="007744BF" w:rsidRPr="00381329">
        <w:t xml:space="preserve">In a </w:t>
      </w:r>
      <w:r w:rsidRPr="001D748C">
        <w:t>PDL</w:t>
      </w:r>
      <w:r>
        <w:t xml:space="preserve"> enabled supply chain the commercial agreements</w:t>
      </w:r>
      <w:r w:rsidR="007744BF" w:rsidRPr="00381329">
        <w:t xml:space="preserve"> </w:t>
      </w:r>
      <w:r w:rsidR="00DC37E5" w:rsidRPr="00381329">
        <w:t xml:space="preserve">between buyers and sellers </w:t>
      </w:r>
      <w:r w:rsidR="00DC37E5" w:rsidRPr="001D748C">
        <w:rPr>
          <w:b/>
          <w:bCs/>
        </w:rPr>
        <w:t>SHOULD</w:t>
      </w:r>
      <w:r w:rsidR="00DC37E5" w:rsidRPr="00381329">
        <w:t xml:space="preserve"> be implemented using a smart contract.</w:t>
      </w:r>
    </w:p>
    <w:p w14:paraId="338B598E" w14:textId="661D1CD6" w:rsidR="00D77DFB" w:rsidRPr="00381329" w:rsidRDefault="00D77DFB" w:rsidP="00D77DFB">
      <w:pPr>
        <w:pStyle w:val="Heading3"/>
        <w:rPr>
          <w:lang w:bidi="he-IL"/>
        </w:rPr>
      </w:pPr>
      <w:bookmarkStart w:id="81" w:name="_Toc160786993"/>
      <w:bookmarkStart w:id="82" w:name="_Toc161049361"/>
      <w:r w:rsidRPr="00381329">
        <w:t>4.3.3</w:t>
      </w:r>
      <w:r w:rsidRPr="00381329">
        <w:tab/>
        <w:t>Cost of transacting</w:t>
      </w:r>
      <w:bookmarkEnd w:id="81"/>
      <w:bookmarkEnd w:id="82"/>
    </w:p>
    <w:p w14:paraId="0C16B689" w14:textId="5BDFF1E9" w:rsidR="00060DE0" w:rsidRPr="00381329" w:rsidRDefault="00060DE0" w:rsidP="00101F55">
      <w:r w:rsidRPr="00381329">
        <w:t xml:space="preserve">Transacting data incurs costs such as cost of measurement, cost of storage, cost of processing and cost of energy required to store and process such data. When </w:t>
      </w:r>
      <w:r w:rsidRPr="001D748C">
        <w:t>PDL</w:t>
      </w:r>
      <w:r>
        <w:t xml:space="preserve"> is involved the cost of transaction may grow compared to traditional transaction costs </w:t>
      </w:r>
      <w:r w:rsidR="00FE0801" w:rsidRPr="00381329">
        <w:t>because of</w:t>
      </w:r>
      <w:r w:rsidRPr="00381329">
        <w:t xml:space="preserve"> the distribution of nodes, networking costs and cost of consensus algorithm in use</w:t>
      </w:r>
      <w:r w:rsidR="00BA1127" w:rsidRPr="00381329">
        <w:t xml:space="preserve"> (also known as </w:t>
      </w:r>
      <w:r w:rsidR="00A42E54" w:rsidRPr="00381329">
        <w:t>"gas cost").</w:t>
      </w:r>
    </w:p>
    <w:p w14:paraId="5B1C1634" w14:textId="5EDA1DBA" w:rsidR="007744BF" w:rsidRPr="00381329" w:rsidRDefault="00A42E54" w:rsidP="00A42E54">
      <w:pPr>
        <w:pStyle w:val="EX"/>
      </w:pPr>
      <w:r w:rsidRPr="00381329">
        <w:rPr>
          <w:b/>
          <w:bCs/>
        </w:rPr>
        <w:t>[</w:t>
      </w:r>
      <w:r w:rsidRPr="001D748C">
        <w:rPr>
          <w:b/>
          <w:bCs/>
        </w:rPr>
        <w:t>D2</w:t>
      </w:r>
      <w:r>
        <w:rPr>
          <w:b/>
          <w:bCs/>
        </w:rPr>
        <w:t>]</w:t>
      </w:r>
      <w:r w:rsidRPr="00381329">
        <w:rPr>
          <w:b/>
          <w:bCs/>
        </w:rPr>
        <w:tab/>
      </w:r>
      <w:r w:rsidR="007744BF" w:rsidRPr="00381329">
        <w:t xml:space="preserve">For proper commercial value </w:t>
      </w:r>
      <w:r w:rsidR="00381329" w:rsidRPr="00381329">
        <w:t>assessment</w:t>
      </w:r>
      <w:r w:rsidR="007744BF" w:rsidRPr="00381329">
        <w:t xml:space="preserve"> the cost of transaction </w:t>
      </w:r>
      <w:r w:rsidR="007744BF" w:rsidRPr="001D748C">
        <w:rPr>
          <w:b/>
          <w:bCs/>
        </w:rPr>
        <w:t>SHOULD</w:t>
      </w:r>
      <w:r w:rsidR="007744BF" w:rsidRPr="00381329">
        <w:t xml:space="preserve"> be measurable and known.</w:t>
      </w:r>
    </w:p>
    <w:p w14:paraId="12DD1A8B" w14:textId="5F7B689E" w:rsidR="00D77DFB" w:rsidRPr="00381329" w:rsidRDefault="00060DE0" w:rsidP="00060DE0">
      <w:pPr>
        <w:pStyle w:val="Heading3"/>
      </w:pPr>
      <w:bookmarkStart w:id="83" w:name="_Toc160786994"/>
      <w:bookmarkStart w:id="84" w:name="_Toc161049362"/>
      <w:r w:rsidRPr="00381329">
        <w:t>4.3.4</w:t>
      </w:r>
      <w:r w:rsidRPr="00381329">
        <w:tab/>
        <w:t>Volume of data</w:t>
      </w:r>
      <w:bookmarkEnd w:id="83"/>
      <w:bookmarkEnd w:id="84"/>
    </w:p>
    <w:p w14:paraId="661BD3CB" w14:textId="65CD7229" w:rsidR="00101F55" w:rsidRPr="00381329" w:rsidRDefault="00E20CF7" w:rsidP="00101F55">
      <w:r w:rsidRPr="00381329">
        <w:t xml:space="preserve">The volume of data generated by measurements varies by use-case. Certain transactions occur frequently and generate huge amounts of data (e.g. </w:t>
      </w:r>
      <w:r w:rsidRPr="001D748C">
        <w:t>IoT</w:t>
      </w:r>
      <w:r>
        <w:t>, wholesale telephone calls, inter-bank monetary transactions) while other transactions occur less frequently thus generating less transactional data</w:t>
      </w:r>
      <w:r w:rsidR="00215989" w:rsidRPr="00381329">
        <w:t xml:space="preserve"> (e.g. car-rental).</w:t>
      </w:r>
    </w:p>
    <w:p w14:paraId="2D97815E" w14:textId="1D59A151" w:rsidR="007744BF" w:rsidRPr="00381329" w:rsidRDefault="00A42E54" w:rsidP="00A42E54">
      <w:pPr>
        <w:pStyle w:val="EX"/>
      </w:pPr>
      <w:r w:rsidRPr="00381329">
        <w:rPr>
          <w:b/>
          <w:bCs/>
        </w:rPr>
        <w:t>[</w:t>
      </w:r>
      <w:r w:rsidRPr="001D748C">
        <w:rPr>
          <w:b/>
          <w:bCs/>
        </w:rPr>
        <w:t>R2</w:t>
      </w:r>
      <w:r>
        <w:rPr>
          <w:b/>
          <w:bCs/>
        </w:rPr>
        <w:t>]</w:t>
      </w:r>
      <w:r w:rsidRPr="00381329">
        <w:tab/>
      </w:r>
      <w:r w:rsidR="007744BF" w:rsidRPr="001D748C">
        <w:t>PDL</w:t>
      </w:r>
      <w:r>
        <w:t xml:space="preserve"> platforms </w:t>
      </w:r>
      <w:r w:rsidR="007744BF" w:rsidRPr="001D748C">
        <w:rPr>
          <w:b/>
          <w:bCs/>
        </w:rPr>
        <w:t>SHALL</w:t>
      </w:r>
      <w:r w:rsidR="007744BF" w:rsidRPr="00381329">
        <w:t xml:space="preserve"> be capable of handling the volume of data generated by the participating nodes.</w:t>
      </w:r>
    </w:p>
    <w:p w14:paraId="21677FC0" w14:textId="5A478C11" w:rsidR="00FE0801" w:rsidRPr="00381329" w:rsidRDefault="00FE0801" w:rsidP="00FE0801">
      <w:pPr>
        <w:pStyle w:val="Heading3"/>
        <w:rPr>
          <w:lang w:bidi="he-IL"/>
        </w:rPr>
      </w:pPr>
      <w:bookmarkStart w:id="85" w:name="_Toc160786995"/>
      <w:bookmarkStart w:id="86" w:name="_Toc161049363"/>
      <w:r w:rsidRPr="00381329">
        <w:lastRenderedPageBreak/>
        <w:t>4.3.5</w:t>
      </w:r>
      <w:r w:rsidRPr="00381329">
        <w:tab/>
        <w:t xml:space="preserve">Processing of </w:t>
      </w:r>
      <w:r w:rsidR="00664722" w:rsidRPr="00381329">
        <w:t>Per-Item</w:t>
      </w:r>
      <w:r w:rsidRPr="00381329">
        <w:t xml:space="preserve"> data and Aggregated data</w:t>
      </w:r>
      <w:bookmarkEnd w:id="85"/>
      <w:bookmarkEnd w:id="86"/>
    </w:p>
    <w:p w14:paraId="70DE5DDC" w14:textId="44303459" w:rsidR="00B56A87" w:rsidRPr="00381329" w:rsidRDefault="00FE0801" w:rsidP="00B56A87">
      <w:r w:rsidRPr="00381329">
        <w:t xml:space="preserve">Depending </w:t>
      </w:r>
      <w:r w:rsidR="00B56A87" w:rsidRPr="00381329">
        <w:t>on</w:t>
      </w:r>
      <w:r w:rsidRPr="00381329">
        <w:t xml:space="preserve"> factors of commercial value of a transaction, cost of transacting and volume of data, processing of data may be performed in a discrete manner (processing each transaction by itself) or in an aggregated manner (aggregating multiple transactions and processing the aggregate).</w:t>
      </w:r>
    </w:p>
    <w:p w14:paraId="7A71156D" w14:textId="6B586490" w:rsidR="00FE0801" w:rsidRPr="00381329" w:rsidRDefault="00381329" w:rsidP="00495F5C">
      <w:r w:rsidRPr="00381329">
        <w:t xml:space="preserve">Table </w:t>
      </w:r>
      <w:r w:rsidRPr="001D748C">
        <w:t>1</w:t>
      </w:r>
      <w:r w:rsidR="00FE0801" w:rsidRPr="00381329">
        <w:t xml:space="preserve"> describes the consideration</w:t>
      </w:r>
      <w:r w:rsidR="00495F5C" w:rsidRPr="00381329">
        <w:t>s</w:t>
      </w:r>
      <w:r w:rsidR="00FE0801" w:rsidRPr="00381329">
        <w:t xml:space="preserve"> related to </w:t>
      </w:r>
      <w:r w:rsidR="00B56A87" w:rsidRPr="00381329">
        <w:t xml:space="preserve">the </w:t>
      </w:r>
      <w:r w:rsidR="00FE0801" w:rsidRPr="00381329">
        <w:t>method of processing such data.</w:t>
      </w:r>
    </w:p>
    <w:p w14:paraId="370A67E5" w14:textId="260DD3C8" w:rsidR="00A42E54" w:rsidRPr="00381329" w:rsidRDefault="00A42E54" w:rsidP="00A42E54">
      <w:pPr>
        <w:pStyle w:val="TH"/>
      </w:pPr>
      <w:r w:rsidRPr="00381329">
        <w:t xml:space="preserve">Table </w:t>
      </w:r>
      <w:r>
        <w:fldChar w:fldCharType="begin"/>
      </w:r>
      <w:r>
        <w:instrText xml:space="preserve"> SEQ Table \* ARABIC </w:instrText>
      </w:r>
      <w:r>
        <w:fldChar w:fldCharType="separate"/>
      </w:r>
      <w:r w:rsidR="00654C79" w:rsidRPr="00381329">
        <w:t>1</w:t>
      </w:r>
      <w:r>
        <w:fldChar w:fldCharType="end"/>
      </w:r>
      <w:r w:rsidRPr="00381329">
        <w:t>: Per-Item and aggregated reconciliation</w:t>
      </w:r>
    </w:p>
    <w:tbl>
      <w:tblPr>
        <w:tblStyle w:val="TableGrid"/>
        <w:tblW w:w="0" w:type="auto"/>
        <w:jc w:val="center"/>
        <w:tblLayout w:type="fixed"/>
        <w:tblCellMar>
          <w:left w:w="28" w:type="dxa"/>
        </w:tblCellMar>
        <w:tblLook w:val="04A0" w:firstRow="1" w:lastRow="0" w:firstColumn="1" w:lastColumn="0" w:noHBand="0" w:noVBand="1"/>
      </w:tblPr>
      <w:tblGrid>
        <w:gridCol w:w="1555"/>
        <w:gridCol w:w="3827"/>
        <w:gridCol w:w="4247"/>
      </w:tblGrid>
      <w:tr w:rsidR="00FE0801" w:rsidRPr="00381329" w14:paraId="3395F1D5" w14:textId="77777777" w:rsidTr="00A42E54">
        <w:trPr>
          <w:jc w:val="center"/>
        </w:trPr>
        <w:tc>
          <w:tcPr>
            <w:tcW w:w="1555" w:type="dxa"/>
          </w:tcPr>
          <w:p w14:paraId="5575A93C" w14:textId="77777777" w:rsidR="00FE0801" w:rsidRPr="00381329" w:rsidRDefault="00FE0801" w:rsidP="00A42E54">
            <w:pPr>
              <w:pStyle w:val="TAH"/>
            </w:pPr>
          </w:p>
        </w:tc>
        <w:tc>
          <w:tcPr>
            <w:tcW w:w="3827" w:type="dxa"/>
          </w:tcPr>
          <w:p w14:paraId="1DEA4E79" w14:textId="61B23EE7" w:rsidR="00FE0801" w:rsidRPr="00381329" w:rsidRDefault="00664722" w:rsidP="00A42E54">
            <w:pPr>
              <w:pStyle w:val="TAH"/>
              <w:rPr>
                <w:bCs/>
              </w:rPr>
            </w:pPr>
            <w:r w:rsidRPr="00381329">
              <w:rPr>
                <w:bCs/>
              </w:rPr>
              <w:t>Per-Item</w:t>
            </w:r>
            <w:r w:rsidR="00A42E54" w:rsidRPr="00381329">
              <w:rPr>
                <w:bCs/>
              </w:rPr>
              <w:t xml:space="preserve"> </w:t>
            </w:r>
            <w:r w:rsidR="00FE0801" w:rsidRPr="00381329">
              <w:rPr>
                <w:bCs/>
              </w:rPr>
              <w:t>processing</w:t>
            </w:r>
          </w:p>
        </w:tc>
        <w:tc>
          <w:tcPr>
            <w:tcW w:w="4247" w:type="dxa"/>
          </w:tcPr>
          <w:p w14:paraId="40D12C1B" w14:textId="17601AEB" w:rsidR="00FE0801" w:rsidRPr="00381329" w:rsidRDefault="00FE0801" w:rsidP="00A42E54">
            <w:pPr>
              <w:pStyle w:val="TAH"/>
              <w:rPr>
                <w:bCs/>
              </w:rPr>
            </w:pPr>
            <w:r w:rsidRPr="00381329">
              <w:rPr>
                <w:bCs/>
              </w:rPr>
              <w:t>Aggregate</w:t>
            </w:r>
            <w:r w:rsidR="00A42E54" w:rsidRPr="00381329">
              <w:rPr>
                <w:bCs/>
              </w:rPr>
              <w:t xml:space="preserve"> </w:t>
            </w:r>
            <w:r w:rsidRPr="00381329">
              <w:rPr>
                <w:bCs/>
              </w:rPr>
              <w:t>processing</w:t>
            </w:r>
          </w:p>
        </w:tc>
      </w:tr>
      <w:tr w:rsidR="00FE0801" w:rsidRPr="00381329" w14:paraId="3AF108ED" w14:textId="77777777" w:rsidTr="00A42E54">
        <w:trPr>
          <w:jc w:val="center"/>
        </w:trPr>
        <w:tc>
          <w:tcPr>
            <w:tcW w:w="1555" w:type="dxa"/>
          </w:tcPr>
          <w:p w14:paraId="1A6B530B" w14:textId="0C3D53F6" w:rsidR="00FE0801" w:rsidRPr="00381329" w:rsidRDefault="00495F5C" w:rsidP="00A42E54">
            <w:pPr>
              <w:pStyle w:val="TAL"/>
              <w:rPr>
                <w:b/>
                <w:bCs/>
              </w:rPr>
            </w:pPr>
            <w:r w:rsidRPr="00381329">
              <w:rPr>
                <w:b/>
                <w:bCs/>
              </w:rPr>
              <w:t>Reconciliation</w:t>
            </w:r>
          </w:p>
        </w:tc>
        <w:tc>
          <w:tcPr>
            <w:tcW w:w="3827" w:type="dxa"/>
          </w:tcPr>
          <w:p w14:paraId="225D9E98" w14:textId="67F84F52" w:rsidR="00FE0801" w:rsidRPr="00381329" w:rsidRDefault="00495F5C" w:rsidP="00A42E54">
            <w:pPr>
              <w:pStyle w:val="TAL"/>
            </w:pPr>
            <w:r w:rsidRPr="00381329">
              <w:t>Each</w:t>
            </w:r>
            <w:r w:rsidR="00A42E54" w:rsidRPr="00381329">
              <w:t xml:space="preserve"> </w:t>
            </w:r>
            <w:r w:rsidRPr="00381329">
              <w:t>record</w:t>
            </w:r>
            <w:r w:rsidR="00A42E54" w:rsidRPr="00381329">
              <w:t xml:space="preserve"> </w:t>
            </w:r>
            <w:r w:rsidRPr="00381329">
              <w:t>is</w:t>
            </w:r>
            <w:r w:rsidR="00A42E54" w:rsidRPr="00381329">
              <w:t xml:space="preserve"> </w:t>
            </w:r>
            <w:r w:rsidRPr="00381329">
              <w:t>reconciled</w:t>
            </w:r>
            <w:r w:rsidR="00A42E54" w:rsidRPr="00381329">
              <w:t xml:space="preserve"> </w:t>
            </w:r>
            <w:r w:rsidRPr="00381329">
              <w:t>and</w:t>
            </w:r>
            <w:r w:rsidR="00A42E54" w:rsidRPr="00381329">
              <w:t xml:space="preserve"> </w:t>
            </w:r>
            <w:r w:rsidRPr="00381329">
              <w:t>processed</w:t>
            </w:r>
            <w:r w:rsidR="00A42E54" w:rsidRPr="00381329">
              <w:t xml:space="preserve"> </w:t>
            </w:r>
            <w:r w:rsidRPr="00381329">
              <w:t>discretely.</w:t>
            </w:r>
          </w:p>
        </w:tc>
        <w:tc>
          <w:tcPr>
            <w:tcW w:w="4247" w:type="dxa"/>
          </w:tcPr>
          <w:p w14:paraId="7C99FFA3" w14:textId="503E01BC" w:rsidR="00FE0801" w:rsidRPr="00381329" w:rsidRDefault="00495F5C" w:rsidP="00A42E54">
            <w:pPr>
              <w:pStyle w:val="TAL"/>
            </w:pPr>
            <w:r w:rsidRPr="00381329">
              <w:t>Consent</w:t>
            </w:r>
            <w:r w:rsidR="00A42E54" w:rsidRPr="00381329">
              <w:t xml:space="preserve"> </w:t>
            </w:r>
            <w:r w:rsidRPr="00381329">
              <w:t>on</w:t>
            </w:r>
            <w:r w:rsidR="00A42E54" w:rsidRPr="00381329">
              <w:t xml:space="preserve"> </w:t>
            </w:r>
            <w:r w:rsidRPr="00381329">
              <w:t>the</w:t>
            </w:r>
            <w:r w:rsidR="00A42E54" w:rsidRPr="00381329">
              <w:t xml:space="preserve"> </w:t>
            </w:r>
            <w:r w:rsidRPr="00381329">
              <w:t>total</w:t>
            </w:r>
            <w:r w:rsidR="00A42E54" w:rsidRPr="00381329">
              <w:t xml:space="preserve"> </w:t>
            </w:r>
            <w:r w:rsidRPr="00381329">
              <w:t>aggregated</w:t>
            </w:r>
            <w:r w:rsidR="00A42E54" w:rsidRPr="00381329">
              <w:t xml:space="preserve"> </w:t>
            </w:r>
            <w:r w:rsidRPr="00381329">
              <w:t>value.</w:t>
            </w:r>
            <w:r w:rsidR="00A42E54" w:rsidRPr="00381329">
              <w:t xml:space="preserve"> </w:t>
            </w:r>
            <w:proofErr w:type="spellStart"/>
            <w:r w:rsidRPr="00381329">
              <w:t>Can</w:t>
            </w:r>
            <w:r w:rsidR="00A42E54" w:rsidRPr="00381329">
              <w:t xml:space="preserve"> </w:t>
            </w:r>
            <w:r w:rsidRPr="00381329">
              <w:t>not</w:t>
            </w:r>
            <w:proofErr w:type="spellEnd"/>
            <w:r w:rsidR="00A42E54" w:rsidRPr="00381329">
              <w:t xml:space="preserve"> </w:t>
            </w:r>
            <w:r w:rsidRPr="00381329">
              <w:t>reconcile</w:t>
            </w:r>
            <w:r w:rsidR="00A42E54" w:rsidRPr="00381329">
              <w:t xml:space="preserve"> </w:t>
            </w:r>
            <w:r w:rsidRPr="00381329">
              <w:t>each</w:t>
            </w:r>
            <w:r w:rsidR="00A42E54" w:rsidRPr="00381329">
              <w:t xml:space="preserve"> </w:t>
            </w:r>
            <w:r w:rsidRPr="00381329">
              <w:t>record</w:t>
            </w:r>
            <w:r w:rsidR="00A42E54" w:rsidRPr="00381329">
              <w:t xml:space="preserve"> </w:t>
            </w:r>
            <w:r w:rsidRPr="00381329">
              <w:t>of</w:t>
            </w:r>
            <w:r w:rsidR="00A42E54" w:rsidRPr="00381329">
              <w:t xml:space="preserve"> </w:t>
            </w:r>
            <w:r w:rsidRPr="00381329">
              <w:t>data.</w:t>
            </w:r>
          </w:p>
        </w:tc>
      </w:tr>
      <w:tr w:rsidR="00B56A87" w:rsidRPr="00381329" w14:paraId="2C9DD317" w14:textId="77777777" w:rsidTr="00A42E54">
        <w:trPr>
          <w:jc w:val="center"/>
        </w:trPr>
        <w:tc>
          <w:tcPr>
            <w:tcW w:w="1555" w:type="dxa"/>
          </w:tcPr>
          <w:p w14:paraId="737BA0D7" w14:textId="49D29F62" w:rsidR="00B56A87" w:rsidRPr="00381329" w:rsidRDefault="00B56A87" w:rsidP="00A42E54">
            <w:pPr>
              <w:pStyle w:val="TAL"/>
              <w:rPr>
                <w:b/>
                <w:bCs/>
              </w:rPr>
            </w:pPr>
            <w:r w:rsidRPr="00381329">
              <w:rPr>
                <w:b/>
                <w:bCs/>
              </w:rPr>
              <w:t>Benefits</w:t>
            </w:r>
          </w:p>
        </w:tc>
        <w:tc>
          <w:tcPr>
            <w:tcW w:w="3827" w:type="dxa"/>
          </w:tcPr>
          <w:p w14:paraId="68D63AB5" w14:textId="7EA699CB" w:rsidR="00B56A87" w:rsidRPr="00381329" w:rsidRDefault="00B56A87" w:rsidP="00A42E54">
            <w:pPr>
              <w:pStyle w:val="TAL"/>
            </w:pPr>
            <w:r w:rsidRPr="00381329">
              <w:t>Full</w:t>
            </w:r>
            <w:r w:rsidR="00A42E54" w:rsidRPr="00381329">
              <w:t xml:space="preserve"> </w:t>
            </w:r>
            <w:r w:rsidRPr="00381329">
              <w:t>visibility</w:t>
            </w:r>
            <w:r w:rsidR="00A42E54" w:rsidRPr="00381329">
              <w:t xml:space="preserve"> </w:t>
            </w:r>
            <w:r w:rsidRPr="00381329">
              <w:t>and</w:t>
            </w:r>
            <w:r w:rsidR="00A42E54" w:rsidRPr="00381329">
              <w:t xml:space="preserve"> </w:t>
            </w:r>
            <w:r w:rsidRPr="00381329">
              <w:t>clarity</w:t>
            </w:r>
            <w:r w:rsidR="00A42E54" w:rsidRPr="00381329">
              <w:t xml:space="preserve"> </w:t>
            </w:r>
            <w:r w:rsidRPr="00381329">
              <w:t>on</w:t>
            </w:r>
            <w:r w:rsidR="00A42E54" w:rsidRPr="00381329">
              <w:t xml:space="preserve"> </w:t>
            </w:r>
            <w:r w:rsidRPr="00381329">
              <w:t>all</w:t>
            </w:r>
            <w:r w:rsidR="00A42E54" w:rsidRPr="00381329">
              <w:t xml:space="preserve"> </w:t>
            </w:r>
            <w:r w:rsidRPr="00381329">
              <w:t>aspects</w:t>
            </w:r>
            <w:r w:rsidR="00A42E54" w:rsidRPr="00381329">
              <w:t xml:space="preserve"> </w:t>
            </w:r>
            <w:r w:rsidRPr="00381329">
              <w:t>of</w:t>
            </w:r>
            <w:r w:rsidR="00A42E54" w:rsidRPr="00381329">
              <w:t xml:space="preserve"> </w:t>
            </w:r>
            <w:r w:rsidRPr="00381329">
              <w:t>reconciled</w:t>
            </w:r>
            <w:r w:rsidR="00A42E54" w:rsidRPr="00381329">
              <w:t xml:space="preserve"> </w:t>
            </w:r>
            <w:r w:rsidRPr="00381329">
              <w:t>data.</w:t>
            </w:r>
          </w:p>
        </w:tc>
        <w:tc>
          <w:tcPr>
            <w:tcW w:w="4247" w:type="dxa"/>
          </w:tcPr>
          <w:p w14:paraId="7D973374" w14:textId="1AD03925" w:rsidR="00B56A87" w:rsidRPr="00381329" w:rsidRDefault="00B56A87" w:rsidP="00A42E54">
            <w:pPr>
              <w:pStyle w:val="TAL"/>
            </w:pPr>
            <w:r w:rsidRPr="00381329">
              <w:t>Fast</w:t>
            </w:r>
            <w:r w:rsidR="00A42E54" w:rsidRPr="00381329">
              <w:t xml:space="preserve"> </w:t>
            </w:r>
            <w:r w:rsidRPr="00381329">
              <w:t>reconciliation</w:t>
            </w:r>
            <w:r w:rsidR="00A42E54" w:rsidRPr="00381329">
              <w:t xml:space="preserve"> </w:t>
            </w:r>
            <w:r w:rsidRPr="00381329">
              <w:t>based</w:t>
            </w:r>
            <w:r w:rsidR="00A42E54" w:rsidRPr="00381329">
              <w:t xml:space="preserve"> </w:t>
            </w:r>
            <w:r w:rsidRPr="00381329">
              <w:t>(primarily)</w:t>
            </w:r>
            <w:r w:rsidR="00A42E54" w:rsidRPr="00381329">
              <w:t xml:space="preserve"> </w:t>
            </w:r>
            <w:r w:rsidRPr="00381329">
              <w:t>on</w:t>
            </w:r>
            <w:r w:rsidR="00A42E54" w:rsidRPr="00381329">
              <w:t xml:space="preserve"> </w:t>
            </w:r>
            <w:r w:rsidRPr="00381329">
              <w:t>commercial</w:t>
            </w:r>
            <w:r w:rsidR="00A42E54" w:rsidRPr="00381329">
              <w:t xml:space="preserve"> </w:t>
            </w:r>
            <w:r w:rsidRPr="00381329">
              <w:t>value.</w:t>
            </w:r>
          </w:p>
        </w:tc>
      </w:tr>
      <w:tr w:rsidR="00B56A87" w:rsidRPr="00381329" w14:paraId="13217B33" w14:textId="77777777" w:rsidTr="00A42E54">
        <w:trPr>
          <w:jc w:val="center"/>
        </w:trPr>
        <w:tc>
          <w:tcPr>
            <w:tcW w:w="1555" w:type="dxa"/>
          </w:tcPr>
          <w:p w14:paraId="0E058188" w14:textId="424DD00F" w:rsidR="00B56A87" w:rsidRPr="00381329" w:rsidRDefault="00B56A87" w:rsidP="00A42E54">
            <w:pPr>
              <w:pStyle w:val="TAL"/>
              <w:rPr>
                <w:b/>
                <w:bCs/>
              </w:rPr>
            </w:pPr>
            <w:r w:rsidRPr="00381329">
              <w:rPr>
                <w:b/>
                <w:bCs/>
              </w:rPr>
              <w:t>Disadvantages</w:t>
            </w:r>
          </w:p>
        </w:tc>
        <w:tc>
          <w:tcPr>
            <w:tcW w:w="3827" w:type="dxa"/>
          </w:tcPr>
          <w:p w14:paraId="0446F615" w14:textId="075E2F92" w:rsidR="00B56A87" w:rsidRPr="00381329" w:rsidRDefault="00B56A87" w:rsidP="00A42E54">
            <w:pPr>
              <w:pStyle w:val="TAL"/>
            </w:pPr>
            <w:r w:rsidRPr="00381329">
              <w:t>Slow.</w:t>
            </w:r>
            <w:r w:rsidR="00A42E54" w:rsidRPr="00381329">
              <w:t xml:space="preserve"> </w:t>
            </w:r>
            <w:r w:rsidRPr="00381329">
              <w:t>Resource</w:t>
            </w:r>
            <w:r w:rsidR="00A42E54" w:rsidRPr="00381329">
              <w:t xml:space="preserve"> </w:t>
            </w:r>
            <w:r w:rsidRPr="00381329">
              <w:t>intensive.</w:t>
            </w:r>
            <w:r w:rsidR="00A42E54" w:rsidRPr="00381329">
              <w:t xml:space="preserve"> </w:t>
            </w:r>
            <w:r w:rsidRPr="00381329">
              <w:t>Cost</w:t>
            </w:r>
            <w:r w:rsidR="00A42E54" w:rsidRPr="00381329">
              <w:t xml:space="preserve"> </w:t>
            </w:r>
            <w:r w:rsidRPr="00381329">
              <w:t>of</w:t>
            </w:r>
            <w:r w:rsidR="00A42E54" w:rsidRPr="00381329">
              <w:t xml:space="preserve"> </w:t>
            </w:r>
            <w:r w:rsidRPr="00381329">
              <w:t>transacting</w:t>
            </w:r>
            <w:r w:rsidR="00A42E54" w:rsidRPr="00381329">
              <w:t xml:space="preserve"> </w:t>
            </w:r>
            <w:r w:rsidRPr="00381329">
              <w:t>may</w:t>
            </w:r>
            <w:r w:rsidR="00A42E54" w:rsidRPr="00381329">
              <w:t xml:space="preserve"> </w:t>
            </w:r>
            <w:r w:rsidRPr="00381329">
              <w:t>reduce</w:t>
            </w:r>
            <w:r w:rsidR="00A42E54" w:rsidRPr="00381329">
              <w:t xml:space="preserve"> </w:t>
            </w:r>
            <w:r w:rsidRPr="00381329">
              <w:t>commercial</w:t>
            </w:r>
            <w:r w:rsidR="00A42E54" w:rsidRPr="00381329">
              <w:t xml:space="preserve"> </w:t>
            </w:r>
            <w:r w:rsidRPr="00381329">
              <w:t>profitability.</w:t>
            </w:r>
          </w:p>
        </w:tc>
        <w:tc>
          <w:tcPr>
            <w:tcW w:w="4247" w:type="dxa"/>
          </w:tcPr>
          <w:p w14:paraId="315B3588" w14:textId="57649F38" w:rsidR="00B56A87" w:rsidRPr="00381329" w:rsidRDefault="00B56A87" w:rsidP="00A42E54">
            <w:pPr>
              <w:pStyle w:val="TAL"/>
            </w:pPr>
            <w:r w:rsidRPr="00381329">
              <w:t>Actual</w:t>
            </w:r>
            <w:r w:rsidR="00A42E54" w:rsidRPr="00381329">
              <w:t xml:space="preserve"> </w:t>
            </w:r>
            <w:r w:rsidRPr="00381329">
              <w:t>data</w:t>
            </w:r>
            <w:r w:rsidR="00A42E54" w:rsidRPr="00381329">
              <w:t xml:space="preserve"> </w:t>
            </w:r>
            <w:r w:rsidRPr="00381329">
              <w:t>is</w:t>
            </w:r>
            <w:r w:rsidR="00A42E54" w:rsidRPr="00381329">
              <w:t xml:space="preserve"> </w:t>
            </w:r>
            <w:r w:rsidRPr="00381329">
              <w:t>not</w:t>
            </w:r>
            <w:r w:rsidR="00A42E54" w:rsidRPr="00381329">
              <w:t xml:space="preserve"> </w:t>
            </w:r>
            <w:r w:rsidRPr="00381329">
              <w:t>reconciled,</w:t>
            </w:r>
            <w:r w:rsidR="00A42E54" w:rsidRPr="00381329">
              <w:t xml:space="preserve"> </w:t>
            </w:r>
            <w:r w:rsidRPr="00381329">
              <w:t>and</w:t>
            </w:r>
            <w:r w:rsidR="00A42E54" w:rsidRPr="00381329">
              <w:t xml:space="preserve"> </w:t>
            </w:r>
            <w:r w:rsidRPr="00381329">
              <w:t>source</w:t>
            </w:r>
            <w:r w:rsidR="00A42E54" w:rsidRPr="00381329">
              <w:t xml:space="preserve"> </w:t>
            </w:r>
            <w:r w:rsidRPr="00381329">
              <w:t>of</w:t>
            </w:r>
            <w:r w:rsidR="00A42E54" w:rsidRPr="00381329">
              <w:t xml:space="preserve"> </w:t>
            </w:r>
            <w:r w:rsidRPr="00381329">
              <w:t>discrepancy</w:t>
            </w:r>
            <w:r w:rsidR="00A42E54" w:rsidRPr="00381329">
              <w:t xml:space="preserve"> </w:t>
            </w:r>
            <w:r w:rsidRPr="00381329">
              <w:t>remains</w:t>
            </w:r>
            <w:r w:rsidR="00A42E54" w:rsidRPr="00381329">
              <w:t xml:space="preserve"> </w:t>
            </w:r>
            <w:r w:rsidRPr="00381329">
              <w:t>in</w:t>
            </w:r>
            <w:r w:rsidR="00A42E54" w:rsidRPr="00381329">
              <w:t xml:space="preserve"> </w:t>
            </w:r>
            <w:r w:rsidRPr="00381329">
              <w:t>place</w:t>
            </w:r>
            <w:r w:rsidR="00A42E54" w:rsidRPr="00381329">
              <w:t xml:space="preserve"> </w:t>
            </w:r>
            <w:r w:rsidR="00FE191D" w:rsidRPr="00381329">
              <w:t>(or</w:t>
            </w:r>
            <w:r w:rsidR="00A42E54" w:rsidRPr="00381329">
              <w:t xml:space="preserve"> </w:t>
            </w:r>
            <w:r w:rsidR="00FE191D" w:rsidRPr="00381329">
              <w:t>left</w:t>
            </w:r>
            <w:r w:rsidR="00A42E54" w:rsidRPr="00381329">
              <w:t xml:space="preserve"> </w:t>
            </w:r>
            <w:r w:rsidR="00FE191D" w:rsidRPr="00381329">
              <w:t>unknown)</w:t>
            </w:r>
            <w:r w:rsidRPr="00381329">
              <w:t>.</w:t>
            </w:r>
          </w:p>
        </w:tc>
      </w:tr>
      <w:tr w:rsidR="00FE0801" w:rsidRPr="00381329" w14:paraId="7415F25B" w14:textId="77777777" w:rsidTr="00A42E54">
        <w:trPr>
          <w:jc w:val="center"/>
        </w:trPr>
        <w:tc>
          <w:tcPr>
            <w:tcW w:w="1555" w:type="dxa"/>
          </w:tcPr>
          <w:p w14:paraId="4BF0378D" w14:textId="22B66A7D" w:rsidR="00FE0801" w:rsidRPr="00381329" w:rsidRDefault="00495F5C" w:rsidP="00A42E54">
            <w:pPr>
              <w:pStyle w:val="TAL"/>
              <w:rPr>
                <w:b/>
                <w:bCs/>
              </w:rPr>
            </w:pPr>
            <w:r w:rsidRPr="00381329">
              <w:rPr>
                <w:b/>
                <w:bCs/>
              </w:rPr>
              <w:t>Suitable</w:t>
            </w:r>
            <w:r w:rsidR="00A42E54" w:rsidRPr="00381329">
              <w:rPr>
                <w:b/>
                <w:bCs/>
              </w:rPr>
              <w:t xml:space="preserve"> </w:t>
            </w:r>
            <w:r w:rsidRPr="00381329">
              <w:rPr>
                <w:b/>
                <w:bCs/>
              </w:rPr>
              <w:t>for</w:t>
            </w:r>
          </w:p>
        </w:tc>
        <w:tc>
          <w:tcPr>
            <w:tcW w:w="3827" w:type="dxa"/>
          </w:tcPr>
          <w:p w14:paraId="598FF2B0" w14:textId="50FD06A5" w:rsidR="00FE0801" w:rsidRPr="00381329" w:rsidRDefault="00495F5C" w:rsidP="00A42E54">
            <w:pPr>
              <w:pStyle w:val="TAL"/>
            </w:pPr>
            <w:r w:rsidRPr="00381329">
              <w:t>Low</w:t>
            </w:r>
            <w:r w:rsidR="00A42E54" w:rsidRPr="00381329">
              <w:t xml:space="preserve"> </w:t>
            </w:r>
            <w:r w:rsidRPr="00381329">
              <w:t>volumes</w:t>
            </w:r>
            <w:r w:rsidR="00A42E54" w:rsidRPr="00381329">
              <w:t xml:space="preserve"> </w:t>
            </w:r>
            <w:r w:rsidRPr="00381329">
              <w:t>of</w:t>
            </w:r>
            <w:r w:rsidR="00A42E54" w:rsidRPr="00381329">
              <w:t xml:space="preserve"> </w:t>
            </w:r>
            <w:r w:rsidRPr="00381329">
              <w:t>data</w:t>
            </w:r>
            <w:r w:rsidR="00A42E54" w:rsidRPr="00381329">
              <w:t xml:space="preserve"> </w:t>
            </w:r>
            <w:r w:rsidRPr="00381329">
              <w:t>where</w:t>
            </w:r>
            <w:r w:rsidR="00A42E54" w:rsidRPr="00381329">
              <w:t xml:space="preserve"> </w:t>
            </w:r>
            <w:r w:rsidRPr="00381329">
              <w:t>the</w:t>
            </w:r>
            <w:r w:rsidR="00A42E54" w:rsidRPr="00381329">
              <w:t xml:space="preserve"> </w:t>
            </w:r>
            <w:r w:rsidRPr="00381329">
              <w:t>commercial</w:t>
            </w:r>
            <w:r w:rsidR="00A42E54" w:rsidRPr="00381329">
              <w:t xml:space="preserve"> </w:t>
            </w:r>
            <w:r w:rsidRPr="00381329">
              <w:t>value</w:t>
            </w:r>
            <w:r w:rsidR="00A42E54" w:rsidRPr="00381329">
              <w:t xml:space="preserve"> </w:t>
            </w:r>
            <w:r w:rsidRPr="00381329">
              <w:t>of</w:t>
            </w:r>
            <w:r w:rsidR="00A42E54" w:rsidRPr="00381329">
              <w:t xml:space="preserve"> </w:t>
            </w:r>
            <w:r w:rsidRPr="00381329">
              <w:t>the</w:t>
            </w:r>
            <w:r w:rsidR="00A42E54" w:rsidRPr="00381329">
              <w:t xml:space="preserve"> </w:t>
            </w:r>
            <w:r w:rsidRPr="00381329">
              <w:t>data</w:t>
            </w:r>
            <w:r w:rsidR="00A42E54" w:rsidRPr="00381329">
              <w:t xml:space="preserve"> </w:t>
            </w:r>
            <w:r w:rsidRPr="00381329">
              <w:t>is</w:t>
            </w:r>
            <w:r w:rsidR="00A42E54" w:rsidRPr="00381329">
              <w:t xml:space="preserve"> </w:t>
            </w:r>
            <w:r w:rsidRPr="00381329">
              <w:t>&gt;&gt;</w:t>
            </w:r>
            <w:r w:rsidR="00A42E54" w:rsidRPr="00381329">
              <w:t xml:space="preserve"> </w:t>
            </w:r>
            <w:r w:rsidRPr="00381329">
              <w:t>the</w:t>
            </w:r>
            <w:r w:rsidR="00A42E54" w:rsidRPr="00381329">
              <w:t xml:space="preserve"> </w:t>
            </w:r>
            <w:r w:rsidRPr="00381329">
              <w:t>cost</w:t>
            </w:r>
            <w:r w:rsidR="00A42E54" w:rsidRPr="00381329">
              <w:t xml:space="preserve"> </w:t>
            </w:r>
            <w:r w:rsidRPr="00381329">
              <w:t>of</w:t>
            </w:r>
            <w:r w:rsidR="00A42E54" w:rsidRPr="00381329">
              <w:t xml:space="preserve"> </w:t>
            </w:r>
            <w:r w:rsidRPr="00381329">
              <w:t>the</w:t>
            </w:r>
            <w:r w:rsidR="00A42E54" w:rsidRPr="00381329">
              <w:t xml:space="preserve"> </w:t>
            </w:r>
            <w:r w:rsidRPr="00381329">
              <w:t>transaction</w:t>
            </w:r>
            <w:r w:rsidR="00FE191D" w:rsidRPr="00381329">
              <w:t>.</w:t>
            </w:r>
          </w:p>
        </w:tc>
        <w:tc>
          <w:tcPr>
            <w:tcW w:w="4247" w:type="dxa"/>
          </w:tcPr>
          <w:p w14:paraId="025E3B4F" w14:textId="15F1ADBD" w:rsidR="00FE0801" w:rsidRPr="00381329" w:rsidRDefault="00495F5C" w:rsidP="00A42E54">
            <w:pPr>
              <w:pStyle w:val="TAL"/>
            </w:pPr>
            <w:r w:rsidRPr="00381329">
              <w:t>High</w:t>
            </w:r>
            <w:r w:rsidR="00A42E54" w:rsidRPr="00381329">
              <w:t xml:space="preserve"> </w:t>
            </w:r>
            <w:r w:rsidRPr="00381329">
              <w:t>volumes</w:t>
            </w:r>
            <w:r w:rsidR="00A42E54" w:rsidRPr="00381329">
              <w:t xml:space="preserve"> </w:t>
            </w:r>
            <w:r w:rsidRPr="00381329">
              <w:t>of</w:t>
            </w:r>
            <w:r w:rsidR="00A42E54" w:rsidRPr="00381329">
              <w:t xml:space="preserve"> </w:t>
            </w:r>
            <w:r w:rsidRPr="00381329">
              <w:t>data</w:t>
            </w:r>
            <w:r w:rsidR="00A42E54" w:rsidRPr="00381329">
              <w:t xml:space="preserve"> </w:t>
            </w:r>
            <w:r w:rsidRPr="00381329">
              <w:t>where</w:t>
            </w:r>
            <w:r w:rsidR="00A42E54" w:rsidRPr="00381329">
              <w:t xml:space="preserve"> </w:t>
            </w:r>
            <w:r w:rsidRPr="00381329">
              <w:t>the</w:t>
            </w:r>
            <w:r w:rsidR="00A42E54" w:rsidRPr="00381329">
              <w:t xml:space="preserve"> </w:t>
            </w:r>
            <w:r w:rsidRPr="00381329">
              <w:t>commercial</w:t>
            </w:r>
            <w:r w:rsidR="00A42E54" w:rsidRPr="00381329">
              <w:t xml:space="preserve"> </w:t>
            </w:r>
            <w:r w:rsidRPr="00381329">
              <w:t>value</w:t>
            </w:r>
            <w:r w:rsidR="00A42E54" w:rsidRPr="00381329">
              <w:t xml:space="preserve"> </w:t>
            </w:r>
            <w:r w:rsidRPr="00381329">
              <w:t>of</w:t>
            </w:r>
            <w:r w:rsidR="00A42E54" w:rsidRPr="00381329">
              <w:t xml:space="preserve"> </w:t>
            </w:r>
            <w:r w:rsidR="00FE191D" w:rsidRPr="00381329">
              <w:t>each</w:t>
            </w:r>
            <w:r w:rsidR="00A42E54" w:rsidRPr="00381329">
              <w:t xml:space="preserve"> </w:t>
            </w:r>
            <w:r w:rsidR="00FE191D" w:rsidRPr="00381329">
              <w:t>item</w:t>
            </w:r>
            <w:r w:rsidR="00A42E54" w:rsidRPr="00381329">
              <w:t xml:space="preserve"> </w:t>
            </w:r>
            <w:r w:rsidR="00FE191D" w:rsidRPr="00381329">
              <w:t>of</w:t>
            </w:r>
            <w:r w:rsidR="00A42E54" w:rsidRPr="00381329">
              <w:t xml:space="preserve"> </w:t>
            </w:r>
            <w:r w:rsidRPr="00381329">
              <w:t>the</w:t>
            </w:r>
            <w:r w:rsidR="00A42E54" w:rsidRPr="00381329">
              <w:t xml:space="preserve"> </w:t>
            </w:r>
            <w:r w:rsidRPr="00381329">
              <w:t>data</w:t>
            </w:r>
            <w:r w:rsidR="00A42E54" w:rsidRPr="00381329">
              <w:t xml:space="preserve"> </w:t>
            </w:r>
            <w:r w:rsidRPr="00381329">
              <w:t>is</w:t>
            </w:r>
            <w:r w:rsidR="00A42E54" w:rsidRPr="00381329">
              <w:t xml:space="preserve"> </w:t>
            </w:r>
            <w:r w:rsidRPr="00381329">
              <w:t>&lt;&lt;</w:t>
            </w:r>
            <w:r w:rsidR="00A42E54" w:rsidRPr="00381329">
              <w:t xml:space="preserve"> </w:t>
            </w:r>
            <w:r w:rsidRPr="00381329">
              <w:t>the</w:t>
            </w:r>
            <w:r w:rsidR="00A42E54" w:rsidRPr="00381329">
              <w:t xml:space="preserve"> </w:t>
            </w:r>
            <w:r w:rsidRPr="00381329">
              <w:t>cost</w:t>
            </w:r>
            <w:r w:rsidR="00A42E54" w:rsidRPr="00381329">
              <w:t xml:space="preserve"> </w:t>
            </w:r>
            <w:r w:rsidRPr="00381329">
              <w:t>of</w:t>
            </w:r>
            <w:r w:rsidR="00A42E54" w:rsidRPr="00381329">
              <w:t xml:space="preserve"> </w:t>
            </w:r>
            <w:r w:rsidRPr="00381329">
              <w:t>the</w:t>
            </w:r>
            <w:r w:rsidR="00A42E54" w:rsidRPr="00381329">
              <w:t xml:space="preserve"> </w:t>
            </w:r>
            <w:r w:rsidRPr="00381329">
              <w:t>transaction</w:t>
            </w:r>
            <w:r w:rsidR="00FE191D" w:rsidRPr="00381329">
              <w:t>.</w:t>
            </w:r>
          </w:p>
        </w:tc>
      </w:tr>
    </w:tbl>
    <w:p w14:paraId="341E4D33" w14:textId="77777777" w:rsidR="00A42E54" w:rsidRPr="00381329" w:rsidRDefault="00A42E54" w:rsidP="00A42E54"/>
    <w:p w14:paraId="49219511" w14:textId="041DE0E1" w:rsidR="00B56A87" w:rsidRPr="00381329" w:rsidRDefault="00B56A87" w:rsidP="00B56A87">
      <w:pPr>
        <w:pStyle w:val="Heading3"/>
      </w:pPr>
      <w:bookmarkStart w:id="87" w:name="_Ref157419790"/>
      <w:bookmarkStart w:id="88" w:name="_Ref150173087"/>
      <w:bookmarkStart w:id="89" w:name="_Toc160786996"/>
      <w:bookmarkStart w:id="90" w:name="_Toc161049364"/>
      <w:r w:rsidRPr="00381329">
        <w:t>4.3.6</w:t>
      </w:r>
      <w:r w:rsidRPr="00381329">
        <w:tab/>
        <w:t>Frequency of Reconciliation and Settlement</w:t>
      </w:r>
      <w:bookmarkEnd w:id="87"/>
      <w:bookmarkEnd w:id="88"/>
      <w:bookmarkEnd w:id="89"/>
      <w:bookmarkEnd w:id="90"/>
    </w:p>
    <w:p w14:paraId="00026CCF" w14:textId="2354ECE9" w:rsidR="00B56A87" w:rsidRPr="00381329" w:rsidRDefault="00B56A87" w:rsidP="0006067D">
      <w:pPr>
        <w:pStyle w:val="Heading4"/>
      </w:pPr>
      <w:bookmarkStart w:id="91" w:name="_Toc160786997"/>
      <w:bookmarkStart w:id="92" w:name="_Toc161049365"/>
      <w:r w:rsidRPr="00381329">
        <w:t>4.3.6.1</w:t>
      </w:r>
      <w:r w:rsidRPr="00381329">
        <w:tab/>
        <w:t>Term</w:t>
      </w:r>
      <w:r w:rsidR="00DC37E5" w:rsidRPr="00381329">
        <w:t>-</w:t>
      </w:r>
      <w:r w:rsidRPr="00381329">
        <w:t>based</w:t>
      </w:r>
      <w:bookmarkEnd w:id="91"/>
      <w:bookmarkEnd w:id="92"/>
    </w:p>
    <w:p w14:paraId="2D12B485" w14:textId="6AC128DF" w:rsidR="00B56A87" w:rsidRPr="00381329" w:rsidRDefault="0006067D" w:rsidP="00B56A87">
      <w:r w:rsidRPr="00381329">
        <w:t>Reconciliation and settlement may occur on pre-defined intervals such as a monthly, weekly, hourly basis. The frequency is related to attributes such as:</w:t>
      </w:r>
    </w:p>
    <w:p w14:paraId="22D8D7A2" w14:textId="111E1A71" w:rsidR="0006067D" w:rsidRPr="00381329" w:rsidRDefault="0006067D" w:rsidP="00A42E54">
      <w:pPr>
        <w:pStyle w:val="BL"/>
        <w:numPr>
          <w:ilvl w:val="0"/>
          <w:numId w:val="22"/>
        </w:numPr>
      </w:pPr>
      <w:r w:rsidRPr="00381329">
        <w:t>The commercial agreements in place between the stakeholders of the transactions.</w:t>
      </w:r>
      <w:r w:rsidR="004916C9" w:rsidRPr="00381329">
        <w:t xml:space="preserve"> E.g. Utility bills are typically settled on a monthly or bi-monthly basis regardless of the frequency at which the utility suppliers measure the usage.</w:t>
      </w:r>
    </w:p>
    <w:p w14:paraId="55C26F81" w14:textId="14253169" w:rsidR="0006067D" w:rsidRPr="00381329" w:rsidRDefault="0006067D" w:rsidP="00A42E54">
      <w:pPr>
        <w:pStyle w:val="BL"/>
        <w:numPr>
          <w:ilvl w:val="0"/>
          <w:numId w:val="22"/>
        </w:numPr>
      </w:pPr>
      <w:r w:rsidRPr="00381329">
        <w:t xml:space="preserve">The duration of the events being measured. It would not make sense to reconcile at intervals shorter than the duration of the events being measured. E.g. when reconciling </w:t>
      </w:r>
      <w:r w:rsidRPr="001D748C">
        <w:t>CDRs</w:t>
      </w:r>
      <w:r>
        <w:t xml:space="preserve"> (see </w:t>
      </w:r>
      <w:r w:rsidR="00381329" w:rsidRPr="00381329">
        <w:t>clause</w:t>
      </w:r>
      <w:r w:rsidRPr="00381329">
        <w:t xml:space="preserve"> </w:t>
      </w:r>
      <w:r w:rsidRPr="001D748C">
        <w:t>4.2.2</w:t>
      </w:r>
      <w:r>
        <w:t xml:space="preserve"> above) it would make sense to reconcile and settle at daily intervals or longer, considering that the average duration of a telephone call is 5-10 minutes and on occasion (e.g. a conference call) calls may stretch for one or two hours, but is highly unlikely to span more than a day.</w:t>
      </w:r>
    </w:p>
    <w:p w14:paraId="56B8E4D6" w14:textId="324BF043" w:rsidR="00FE191D" w:rsidRPr="00381329" w:rsidRDefault="00A42E54" w:rsidP="00A42E54">
      <w:pPr>
        <w:pStyle w:val="EX"/>
      </w:pPr>
      <w:r w:rsidRPr="00381329">
        <w:rPr>
          <w:b/>
          <w:bCs/>
        </w:rPr>
        <w:t>[</w:t>
      </w:r>
      <w:r w:rsidRPr="001D748C">
        <w:rPr>
          <w:b/>
          <w:bCs/>
        </w:rPr>
        <w:t>D3</w:t>
      </w:r>
      <w:r>
        <w:rPr>
          <w:b/>
          <w:bCs/>
        </w:rPr>
        <w:t>]</w:t>
      </w:r>
      <w:r w:rsidRPr="00381329">
        <w:rPr>
          <w:b/>
          <w:bCs/>
        </w:rPr>
        <w:tab/>
      </w:r>
      <w:r w:rsidR="00FE191D" w:rsidRPr="00381329">
        <w:t xml:space="preserve">Term-based </w:t>
      </w:r>
      <w:r w:rsidRPr="001D748C">
        <w:t>PDL</w:t>
      </w:r>
      <w:r>
        <w:t xml:space="preserve"> enabled reconciliation </w:t>
      </w:r>
      <w:r w:rsidR="00FE191D" w:rsidRPr="001D748C">
        <w:rPr>
          <w:b/>
          <w:bCs/>
        </w:rPr>
        <w:t>SHOULD</w:t>
      </w:r>
      <w:r w:rsidR="00FE191D" w:rsidRPr="00381329">
        <w:t xml:space="preserve"> be performed at intervals longer than the duration of the events being reconciled.</w:t>
      </w:r>
    </w:p>
    <w:p w14:paraId="4C50960B" w14:textId="30ABAAC7" w:rsidR="004916C9" w:rsidRPr="00381329" w:rsidRDefault="004916C9" w:rsidP="004916C9">
      <w:pPr>
        <w:rPr>
          <w:rFonts w:asciiTheme="majorBidi" w:hAnsiTheme="majorBidi" w:cstheme="majorBidi"/>
        </w:rPr>
      </w:pPr>
      <w:r w:rsidRPr="00381329">
        <w:rPr>
          <w:rFonts w:asciiTheme="majorBidi" w:hAnsiTheme="majorBidi" w:cstheme="majorBidi"/>
        </w:rPr>
        <w:t xml:space="preserve">In a </w:t>
      </w:r>
      <w:r w:rsidR="00DC37E5" w:rsidRPr="00381329">
        <w:rPr>
          <w:rFonts w:asciiTheme="majorBidi" w:hAnsiTheme="majorBidi" w:cstheme="majorBidi"/>
        </w:rPr>
        <w:t>term-based</w:t>
      </w:r>
      <w:r w:rsidRPr="00381329">
        <w:rPr>
          <w:rFonts w:asciiTheme="majorBidi" w:hAnsiTheme="majorBidi" w:cstheme="majorBidi"/>
        </w:rPr>
        <w:t xml:space="preserve"> reconciliation environment the data (e.g. volume of water or energy being consumed by a household during the billing period</w:t>
      </w:r>
      <w:r w:rsidR="00DC37E5" w:rsidRPr="00381329">
        <w:rPr>
          <w:rFonts w:asciiTheme="majorBidi" w:hAnsiTheme="majorBidi" w:cstheme="majorBidi"/>
        </w:rPr>
        <w:t>;</w:t>
      </w:r>
      <w:r w:rsidRPr="00381329">
        <w:rPr>
          <w:rFonts w:asciiTheme="majorBidi" w:hAnsiTheme="majorBidi" w:cstheme="majorBidi"/>
        </w:rPr>
        <w:t xml:space="preserve"> number, </w:t>
      </w:r>
      <w:r w:rsidR="00DC37E5" w:rsidRPr="00381329">
        <w:rPr>
          <w:rFonts w:asciiTheme="majorBidi" w:hAnsiTheme="majorBidi" w:cstheme="majorBidi"/>
        </w:rPr>
        <w:t>duration</w:t>
      </w:r>
      <w:r w:rsidRPr="00381329">
        <w:rPr>
          <w:rFonts w:asciiTheme="majorBidi" w:hAnsiTheme="majorBidi" w:cstheme="majorBidi"/>
        </w:rPr>
        <w:t xml:space="preserve"> and destination of calls made by a user during a billing period) is being measured and recorded during the billing period and summarized, </w:t>
      </w:r>
      <w:r w:rsidR="00F911F5" w:rsidRPr="00381329">
        <w:rPr>
          <w:rFonts w:asciiTheme="majorBidi" w:hAnsiTheme="majorBidi" w:cstheme="majorBidi"/>
        </w:rPr>
        <w:t>reconciled,</w:t>
      </w:r>
      <w:r w:rsidRPr="00381329">
        <w:rPr>
          <w:rFonts w:asciiTheme="majorBidi" w:hAnsiTheme="majorBidi" w:cstheme="majorBidi"/>
        </w:rPr>
        <w:t xml:space="preserve"> and transacted at said predefined intervals.</w:t>
      </w:r>
    </w:p>
    <w:p w14:paraId="2FF2DB66" w14:textId="46FBADD5" w:rsidR="0006067D" w:rsidRPr="00381329" w:rsidRDefault="0006067D" w:rsidP="0006067D">
      <w:pPr>
        <w:pStyle w:val="Heading4"/>
      </w:pPr>
      <w:bookmarkStart w:id="93" w:name="_Toc160786998"/>
      <w:bookmarkStart w:id="94" w:name="_Toc161049366"/>
      <w:r w:rsidRPr="00381329">
        <w:t>4.3.6.2</w:t>
      </w:r>
      <w:r w:rsidRPr="00381329">
        <w:tab/>
        <w:t>Event</w:t>
      </w:r>
      <w:r w:rsidR="00DC37E5" w:rsidRPr="00381329">
        <w:t>-</w:t>
      </w:r>
      <w:r w:rsidRPr="00381329">
        <w:t>based</w:t>
      </w:r>
      <w:bookmarkEnd w:id="93"/>
      <w:bookmarkEnd w:id="94"/>
    </w:p>
    <w:p w14:paraId="41562985" w14:textId="0488D669" w:rsidR="00851406" w:rsidRPr="00381329" w:rsidRDefault="004916C9" w:rsidP="00851406">
      <w:r w:rsidRPr="00381329">
        <w:t>Reconciliation and settlement may occur based on events such as</w:t>
      </w:r>
      <w:r w:rsidR="00851406" w:rsidRPr="00381329">
        <w:t>:</w:t>
      </w:r>
    </w:p>
    <w:p w14:paraId="3FC5A6A1" w14:textId="1FC39BE7" w:rsidR="00851406" w:rsidRPr="00381329" w:rsidRDefault="00851406" w:rsidP="00A42E54">
      <w:pPr>
        <w:pStyle w:val="BL"/>
        <w:numPr>
          <w:ilvl w:val="0"/>
          <w:numId w:val="23"/>
        </w:numPr>
      </w:pPr>
      <w:r w:rsidRPr="00381329">
        <w:t>S</w:t>
      </w:r>
      <w:r w:rsidR="004916C9" w:rsidRPr="00381329">
        <w:t>pecific commercial transaction</w:t>
      </w:r>
      <w:r w:rsidRPr="00381329">
        <w:t>s.</w:t>
      </w:r>
      <w:r w:rsidR="004916C9" w:rsidRPr="00381329">
        <w:t xml:space="preserve"> </w:t>
      </w:r>
      <w:r w:rsidRPr="00381329">
        <w:t>E</w:t>
      </w:r>
      <w:r w:rsidR="004916C9" w:rsidRPr="00381329">
        <w:t xml:space="preserve">.g. buying a theatre ticket </w:t>
      </w:r>
      <w:r w:rsidRPr="00381329">
        <w:t xml:space="preserve">generates an immediate reconciliation and settlement between the ticket seller and buyer </w:t>
      </w:r>
      <w:r w:rsidR="00DC37E5" w:rsidRPr="00381329">
        <w:t>and</w:t>
      </w:r>
      <w:r w:rsidRPr="00381329">
        <w:t xml:space="preserve"> triggers generation of the actual ticket (be it a paper ticket or an </w:t>
      </w:r>
      <w:r w:rsidR="00DC37E5" w:rsidRPr="00381329">
        <w:t>electronic document</w:t>
      </w:r>
      <w:r w:rsidRPr="00381329">
        <w:t>).</w:t>
      </w:r>
    </w:p>
    <w:p w14:paraId="5FF9D12E" w14:textId="7BD5A237" w:rsidR="00851406" w:rsidRPr="00381329" w:rsidRDefault="00851406" w:rsidP="00A42E54">
      <w:pPr>
        <w:pStyle w:val="BL"/>
        <w:numPr>
          <w:ilvl w:val="0"/>
          <w:numId w:val="23"/>
        </w:numPr>
      </w:pPr>
      <w:r w:rsidRPr="00381329">
        <w:t xml:space="preserve">Certain conditions. E.g. </w:t>
      </w:r>
      <w:r w:rsidR="006E6F23" w:rsidRPr="00381329">
        <w:t>A vehicle crossing a toll gate and paying the required toll</w:t>
      </w:r>
      <w:r w:rsidRPr="00381329">
        <w:t>.</w:t>
      </w:r>
    </w:p>
    <w:p w14:paraId="457CCA7D" w14:textId="59C3AF65" w:rsidR="00DC37E5" w:rsidRPr="00381329" w:rsidRDefault="00DC37E5" w:rsidP="00A42E54">
      <w:pPr>
        <w:pStyle w:val="BL"/>
        <w:numPr>
          <w:ilvl w:val="0"/>
          <w:numId w:val="23"/>
        </w:numPr>
      </w:pPr>
      <w:r w:rsidRPr="00381329">
        <w:t>Threshold being reached. E.g. A consumer</w:t>
      </w:r>
      <w:r w:rsidR="00A42E54" w:rsidRPr="00381329">
        <w:t>'</w:t>
      </w:r>
      <w:r w:rsidRPr="00381329">
        <w:t>s credit limit had been reached and the consumer is required to top</w:t>
      </w:r>
      <w:r w:rsidR="00BD593F">
        <w:noBreakHyphen/>
      </w:r>
      <w:r w:rsidRPr="00381329">
        <w:t xml:space="preserve">up their credit </w:t>
      </w:r>
      <w:r w:rsidR="00FE191D" w:rsidRPr="00381329">
        <w:t>to</w:t>
      </w:r>
      <w:r w:rsidRPr="00381329">
        <w:t xml:space="preserve"> continue consuming the service.</w:t>
      </w:r>
    </w:p>
    <w:p w14:paraId="578B9AC4" w14:textId="480707EB" w:rsidR="002A63B0" w:rsidRPr="00381329" w:rsidRDefault="002A63B0" w:rsidP="002A63B0">
      <w:pPr>
        <w:pStyle w:val="Heading1"/>
      </w:pPr>
      <w:bookmarkStart w:id="95" w:name="_Toc160786999"/>
      <w:bookmarkStart w:id="96" w:name="_Toc161049367"/>
      <w:r w:rsidRPr="00381329">
        <w:lastRenderedPageBreak/>
        <w:t>5</w:t>
      </w:r>
      <w:r w:rsidRPr="00381329">
        <w:tab/>
      </w:r>
      <w:r w:rsidRPr="001D748C">
        <w:t>PDL</w:t>
      </w:r>
      <w:r>
        <w:t xml:space="preserve"> Nodes in a multi-domain environment</w:t>
      </w:r>
      <w:bookmarkEnd w:id="95"/>
      <w:bookmarkEnd w:id="96"/>
    </w:p>
    <w:p w14:paraId="3EC79798" w14:textId="3AD796DC" w:rsidR="002A63B0" w:rsidRPr="00381329" w:rsidRDefault="005A2C44" w:rsidP="005A2C44">
      <w:pPr>
        <w:pStyle w:val="Heading2"/>
      </w:pPr>
      <w:bookmarkStart w:id="97" w:name="_Toc160787000"/>
      <w:bookmarkStart w:id="98" w:name="_Toc161049368"/>
      <w:r w:rsidRPr="00381329">
        <w:t>5.1</w:t>
      </w:r>
      <w:r w:rsidRPr="00381329">
        <w:tab/>
        <w:t>Introduction</w:t>
      </w:r>
      <w:bookmarkEnd w:id="97"/>
      <w:bookmarkEnd w:id="98"/>
    </w:p>
    <w:p w14:paraId="0B3C8A10" w14:textId="365FD66B" w:rsidR="005A2C44" w:rsidRPr="00381329" w:rsidRDefault="005A2C44" w:rsidP="00A42E54">
      <w:r w:rsidRPr="00381329">
        <w:t xml:space="preserve">The architecture and topology of </w:t>
      </w:r>
      <w:r w:rsidRPr="001D748C">
        <w:t>PDL</w:t>
      </w:r>
      <w:r>
        <w:t xml:space="preserve"> nodes and networks is discussed thoroughly in </w:t>
      </w:r>
      <w:r w:rsidR="00403A45" w:rsidRPr="00403A45">
        <w:t>ETSI GS</w:t>
      </w:r>
      <w:r w:rsidR="00403A45" w:rsidRPr="001D748C">
        <w:t xml:space="preserve"> </w:t>
      </w:r>
      <w:r w:rsidRPr="001D748C">
        <w:t>PDL</w:t>
      </w:r>
      <w:r w:rsidR="00374555">
        <w:t xml:space="preserve"> </w:t>
      </w:r>
      <w:r>
        <w:t xml:space="preserve">012 </w:t>
      </w:r>
      <w:r w:rsidR="00403A45" w:rsidRPr="00403A45">
        <w:t>[</w:t>
      </w:r>
      <w:r w:rsidR="00403A45" w:rsidRPr="00403A45">
        <w:fldChar w:fldCharType="begin"/>
      </w:r>
      <w:r w:rsidR="00403A45" w:rsidRPr="00403A45">
        <w:instrText xml:space="preserve">REF REF_PDL012V121JUNE2023 \h </w:instrText>
      </w:r>
      <w:r w:rsidR="00403A45" w:rsidRPr="00403A45">
        <w:fldChar w:fldCharType="separate"/>
      </w:r>
      <w:r w:rsidR="00403A45" w:rsidRPr="00403A45">
        <w:t>i.</w:t>
      </w:r>
      <w:r w:rsidR="00403A45" w:rsidRPr="00403A45">
        <w:rPr>
          <w:noProof/>
        </w:rPr>
        <w:t>2</w:t>
      </w:r>
      <w:r w:rsidR="00403A45" w:rsidRPr="00403A45">
        <w:fldChar w:fldCharType="end"/>
      </w:r>
      <w:r w:rsidR="00403A45" w:rsidRPr="00403A45">
        <w:t>]</w:t>
      </w:r>
      <w:r w:rsidRPr="00381329">
        <w:t xml:space="preserve"> and </w:t>
      </w:r>
      <w:r w:rsidR="00403A45" w:rsidRPr="00403A45">
        <w:t>ETSI GS</w:t>
      </w:r>
      <w:r w:rsidR="00403A45" w:rsidRPr="001D748C">
        <w:t xml:space="preserve"> </w:t>
      </w:r>
      <w:r w:rsidRPr="001D748C">
        <w:t>PDL</w:t>
      </w:r>
      <w:r w:rsidR="00374555">
        <w:t xml:space="preserve"> </w:t>
      </w:r>
      <w:r>
        <w:t>022</w:t>
      </w:r>
      <w:r w:rsidR="00403A45">
        <w:t xml:space="preserve"> </w:t>
      </w:r>
      <w:r w:rsidR="00403A45" w:rsidRPr="00403A45">
        <w:t>[</w:t>
      </w:r>
      <w:r w:rsidR="00403A45" w:rsidRPr="00403A45">
        <w:fldChar w:fldCharType="begin"/>
      </w:r>
      <w:r w:rsidR="00403A45" w:rsidRPr="00403A45">
        <w:instrText xml:space="preserve">REF REF_PDL022V111APRIL2024 \h </w:instrText>
      </w:r>
      <w:r w:rsidR="00403A45" w:rsidRPr="00403A45">
        <w:fldChar w:fldCharType="separate"/>
      </w:r>
      <w:r w:rsidR="00403A45" w:rsidRPr="00403A45">
        <w:t>i.</w:t>
      </w:r>
      <w:r w:rsidR="00403A45" w:rsidRPr="00403A45">
        <w:rPr>
          <w:noProof/>
        </w:rPr>
        <w:t>3</w:t>
      </w:r>
      <w:r w:rsidR="00403A45" w:rsidRPr="00403A45">
        <w:fldChar w:fldCharType="end"/>
      </w:r>
      <w:r w:rsidR="00403A45" w:rsidRPr="00403A45">
        <w:t>]</w:t>
      </w:r>
      <w:r>
        <w:t>.</w:t>
      </w:r>
    </w:p>
    <w:p w14:paraId="245AD381" w14:textId="7E4F73BA" w:rsidR="005A2C44" w:rsidRPr="00381329" w:rsidRDefault="005A2C44" w:rsidP="00A42E54">
      <w:r w:rsidRPr="00381329">
        <w:t xml:space="preserve">This </w:t>
      </w:r>
      <w:r w:rsidR="00381329" w:rsidRPr="00381329">
        <w:t>clause</w:t>
      </w:r>
      <w:r w:rsidRPr="00381329">
        <w:t xml:space="preserve"> further expands the concepts defined therein with specific focus on settlement of </w:t>
      </w:r>
      <w:r w:rsidR="00DC37E5" w:rsidRPr="00381329">
        <w:t>usage-based</w:t>
      </w:r>
      <w:r w:rsidRPr="00381329">
        <w:t xml:space="preserve"> services in a multi-entity environment.</w:t>
      </w:r>
    </w:p>
    <w:p w14:paraId="46F20A24" w14:textId="68A4B262" w:rsidR="005A2C44" w:rsidRPr="00381329" w:rsidRDefault="005A2C44" w:rsidP="005A2C44">
      <w:pPr>
        <w:pStyle w:val="Heading2"/>
      </w:pPr>
      <w:bookmarkStart w:id="99" w:name="_Toc160787001"/>
      <w:bookmarkStart w:id="100" w:name="_Toc161049369"/>
      <w:r w:rsidRPr="00381329">
        <w:t xml:space="preserve">5.2 </w:t>
      </w:r>
      <w:r w:rsidRPr="00381329">
        <w:tab/>
        <w:t>Number of nodes</w:t>
      </w:r>
      <w:bookmarkEnd w:id="99"/>
      <w:bookmarkEnd w:id="100"/>
    </w:p>
    <w:p w14:paraId="3DD1D730" w14:textId="4D7411EB" w:rsidR="005A2C44" w:rsidRPr="00381329" w:rsidRDefault="005A2C44" w:rsidP="00A42E54">
      <w:r w:rsidRPr="00381329">
        <w:t xml:space="preserve">In most </w:t>
      </w:r>
      <w:r w:rsidRPr="001D748C">
        <w:t>PDL</w:t>
      </w:r>
      <w:r>
        <w:t xml:space="preserve"> scenarios there will be at least one node per participant in any chain such participant is part of, however there may be unique cases where all participants are using a single node. This is typically an interim transitional phase when establishing a </w:t>
      </w:r>
      <w:r w:rsidRPr="001D748C">
        <w:t>PDL</w:t>
      </w:r>
      <w:r>
        <w:t xml:space="preserve"> platform when the focus is on developing </w:t>
      </w:r>
      <w:r w:rsidR="00FF07BB" w:rsidRPr="00381329">
        <w:t xml:space="preserve">applications and </w:t>
      </w:r>
      <w:proofErr w:type="spellStart"/>
      <w:r w:rsidRPr="001D748C">
        <w:t>PoCs</w:t>
      </w:r>
      <w:proofErr w:type="spellEnd"/>
      <w:r>
        <w:t xml:space="preserve"> in pre-production environments.</w:t>
      </w:r>
    </w:p>
    <w:p w14:paraId="62DC33C5" w14:textId="25C98E7E" w:rsidR="00FF07BB" w:rsidRPr="00381329" w:rsidRDefault="00FF07BB" w:rsidP="00A42E54">
      <w:r w:rsidRPr="00381329">
        <w:t>However</w:t>
      </w:r>
      <w:r w:rsidR="00A42E54" w:rsidRPr="00381329">
        <w:t>,</w:t>
      </w:r>
      <w:r w:rsidRPr="00381329">
        <w:t xml:space="preserve"> in a production system there </w:t>
      </w:r>
      <w:proofErr w:type="gramStart"/>
      <w:r w:rsidRPr="00381329">
        <w:t>has to</w:t>
      </w:r>
      <w:proofErr w:type="gramEnd"/>
      <w:r w:rsidRPr="00381329">
        <w:t xml:space="preserve"> be at least one node for each participant in a chain.</w:t>
      </w:r>
    </w:p>
    <w:p w14:paraId="1A1A0337" w14:textId="199D5619" w:rsidR="00FF07BB" w:rsidRPr="00381329" w:rsidRDefault="00A42E54" w:rsidP="00A42E54">
      <w:pPr>
        <w:pStyle w:val="EX"/>
      </w:pPr>
      <w:r w:rsidRPr="00381329">
        <w:rPr>
          <w:b/>
          <w:bCs/>
        </w:rPr>
        <w:t>[</w:t>
      </w:r>
      <w:r w:rsidRPr="001D748C">
        <w:rPr>
          <w:b/>
          <w:bCs/>
        </w:rPr>
        <w:t>R3</w:t>
      </w:r>
      <w:r>
        <w:rPr>
          <w:b/>
          <w:bCs/>
        </w:rPr>
        <w:t>]</w:t>
      </w:r>
      <w:r w:rsidRPr="00381329">
        <w:tab/>
      </w:r>
      <w:r w:rsidR="00FF07BB" w:rsidRPr="00381329">
        <w:t xml:space="preserve">There </w:t>
      </w:r>
      <w:r w:rsidR="00FF07BB" w:rsidRPr="001D748C">
        <w:rPr>
          <w:b/>
          <w:bCs/>
        </w:rPr>
        <w:t>SHALL</w:t>
      </w:r>
      <w:r w:rsidR="00FF07BB" w:rsidRPr="00381329">
        <w:t xml:space="preserve"> be at least one node per transacting participant in a chain that performs reconciliation and settlement.</w:t>
      </w:r>
    </w:p>
    <w:p w14:paraId="2CADC37A" w14:textId="56B7204B" w:rsidR="00FF07BB" w:rsidRPr="00381329" w:rsidRDefault="00FF07BB" w:rsidP="00FF07BB">
      <w:r w:rsidRPr="00381329">
        <w:t>Some chain types mandate the inclusion of non-transacting nodes for the proper operation of such chain.</w:t>
      </w:r>
    </w:p>
    <w:p w14:paraId="5C097F91" w14:textId="04A0D004" w:rsidR="00FF07BB" w:rsidRPr="00381329" w:rsidRDefault="00A42E54" w:rsidP="00A42E54">
      <w:pPr>
        <w:pStyle w:val="EX"/>
      </w:pPr>
      <w:r w:rsidRPr="00381329">
        <w:rPr>
          <w:b/>
          <w:bCs/>
        </w:rPr>
        <w:t>[</w:t>
      </w:r>
      <w:r w:rsidRPr="001D748C">
        <w:rPr>
          <w:b/>
          <w:bCs/>
        </w:rPr>
        <w:t>O1</w:t>
      </w:r>
      <w:r>
        <w:rPr>
          <w:b/>
          <w:bCs/>
        </w:rPr>
        <w:t>]</w:t>
      </w:r>
      <w:r w:rsidRPr="00381329">
        <w:tab/>
      </w:r>
      <w:r w:rsidR="00FF07BB" w:rsidRPr="00381329">
        <w:t xml:space="preserve">There </w:t>
      </w:r>
      <w:r w:rsidR="00FF07BB" w:rsidRPr="001D748C">
        <w:rPr>
          <w:b/>
          <w:bCs/>
        </w:rPr>
        <w:t>MAY</w:t>
      </w:r>
      <w:r w:rsidR="00FF07BB" w:rsidRPr="00381329">
        <w:t xml:space="preserve"> be one or more neutral nodes operated by non-transacting entities in a chain.</w:t>
      </w:r>
    </w:p>
    <w:p w14:paraId="29717E4E" w14:textId="7843AE85" w:rsidR="005A2C44" w:rsidRPr="00381329" w:rsidRDefault="005A2C44" w:rsidP="005A2C44">
      <w:pPr>
        <w:pStyle w:val="Heading2"/>
      </w:pPr>
      <w:bookmarkStart w:id="101" w:name="_Toc160787002"/>
      <w:bookmarkStart w:id="102" w:name="_Toc161049370"/>
      <w:r w:rsidRPr="00381329">
        <w:t>5.3</w:t>
      </w:r>
      <w:r w:rsidRPr="00381329">
        <w:tab/>
        <w:t>Ownership of nodes</w:t>
      </w:r>
      <w:bookmarkEnd w:id="101"/>
      <w:bookmarkEnd w:id="102"/>
    </w:p>
    <w:p w14:paraId="73EB63D1" w14:textId="6528DADD" w:rsidR="005A2C44" w:rsidRPr="00381329" w:rsidRDefault="00A42E54" w:rsidP="00A42E54">
      <w:pPr>
        <w:pStyle w:val="EX"/>
      </w:pPr>
      <w:r w:rsidRPr="00381329">
        <w:rPr>
          <w:b/>
          <w:bCs/>
        </w:rPr>
        <w:t>[</w:t>
      </w:r>
      <w:r w:rsidRPr="001D748C">
        <w:rPr>
          <w:b/>
          <w:bCs/>
        </w:rPr>
        <w:t>O2</w:t>
      </w:r>
      <w:r>
        <w:rPr>
          <w:b/>
          <w:bCs/>
        </w:rPr>
        <w:t>]</w:t>
      </w:r>
      <w:r w:rsidRPr="00381329">
        <w:rPr>
          <w:b/>
          <w:bCs/>
        </w:rPr>
        <w:tab/>
      </w:r>
      <w:r w:rsidR="00AA5350" w:rsidRPr="00381329">
        <w:t xml:space="preserve">Nodes </w:t>
      </w:r>
      <w:r w:rsidR="00AA5350" w:rsidRPr="001D748C">
        <w:rPr>
          <w:b/>
          <w:bCs/>
        </w:rPr>
        <w:t>MAY</w:t>
      </w:r>
      <w:r w:rsidR="00AA5350" w:rsidRPr="00381329">
        <w:t xml:space="preserve"> be owned by any entity </w:t>
      </w:r>
      <w:proofErr w:type="gramStart"/>
      <w:r w:rsidR="00AA5350" w:rsidRPr="00381329">
        <w:t>as long as</w:t>
      </w:r>
      <w:proofErr w:type="gramEnd"/>
      <w:r w:rsidR="00AA5350" w:rsidRPr="00381329">
        <w:t xml:space="preserve"> all participating entities can gain unbiased access to all required functions.</w:t>
      </w:r>
    </w:p>
    <w:p w14:paraId="2B9A859F" w14:textId="7CE73F91" w:rsidR="00AA5350" w:rsidRPr="00381329" w:rsidRDefault="00A42E54" w:rsidP="00A42E54">
      <w:pPr>
        <w:pStyle w:val="EX"/>
      </w:pPr>
      <w:r w:rsidRPr="00381329">
        <w:rPr>
          <w:b/>
          <w:bCs/>
        </w:rPr>
        <w:t>[</w:t>
      </w:r>
      <w:r w:rsidRPr="001D748C">
        <w:rPr>
          <w:b/>
          <w:bCs/>
        </w:rPr>
        <w:t>R4</w:t>
      </w:r>
      <w:r>
        <w:rPr>
          <w:b/>
          <w:bCs/>
        </w:rPr>
        <w:t>]</w:t>
      </w:r>
      <w:r w:rsidRPr="00381329">
        <w:tab/>
      </w:r>
      <w:r w:rsidR="00AA5350" w:rsidRPr="00381329">
        <w:t xml:space="preserve">An entity owning a node </w:t>
      </w:r>
      <w:r w:rsidR="00AA5350" w:rsidRPr="001D748C">
        <w:rPr>
          <w:b/>
          <w:bCs/>
        </w:rPr>
        <w:t>SHALL</w:t>
      </w:r>
      <w:r w:rsidR="00AA5350" w:rsidRPr="00381329">
        <w:t xml:space="preserve"> provide unbiased access to all required functions to all participants in the chain.</w:t>
      </w:r>
    </w:p>
    <w:p w14:paraId="512A7CE2" w14:textId="726819FE" w:rsidR="00AA5350" w:rsidRPr="00381329" w:rsidRDefault="00A42E54" w:rsidP="00A42E54">
      <w:pPr>
        <w:pStyle w:val="EX"/>
      </w:pPr>
      <w:r w:rsidRPr="00381329">
        <w:rPr>
          <w:b/>
          <w:bCs/>
        </w:rPr>
        <w:t>[</w:t>
      </w:r>
      <w:r w:rsidRPr="001D748C">
        <w:rPr>
          <w:b/>
          <w:bCs/>
        </w:rPr>
        <w:t>O3</w:t>
      </w:r>
      <w:r>
        <w:rPr>
          <w:b/>
          <w:bCs/>
        </w:rPr>
        <w:t>]</w:t>
      </w:r>
      <w:r w:rsidRPr="00381329">
        <w:rPr>
          <w:b/>
          <w:bCs/>
        </w:rPr>
        <w:tab/>
      </w:r>
      <w:r w:rsidR="00AA5350" w:rsidRPr="00381329">
        <w:t xml:space="preserve">Access to certain administrative functions on a node </w:t>
      </w:r>
      <w:r w:rsidR="00AA5350" w:rsidRPr="001D748C">
        <w:rPr>
          <w:b/>
          <w:bCs/>
        </w:rPr>
        <w:t>MAY</w:t>
      </w:r>
      <w:r w:rsidR="00AA5350" w:rsidRPr="00381329">
        <w:t xml:space="preserve"> be limited to specific entities for operational purposes regardless of ownership of such node.</w:t>
      </w:r>
    </w:p>
    <w:p w14:paraId="3EEA8B8B" w14:textId="0D86934E" w:rsidR="00FB0183" w:rsidRPr="00381329" w:rsidRDefault="00A42E54" w:rsidP="00A42E54">
      <w:pPr>
        <w:pStyle w:val="EX"/>
      </w:pPr>
      <w:r w:rsidRPr="00381329">
        <w:rPr>
          <w:b/>
          <w:bCs/>
        </w:rPr>
        <w:t>[</w:t>
      </w:r>
      <w:r w:rsidRPr="001D748C">
        <w:rPr>
          <w:b/>
          <w:bCs/>
        </w:rPr>
        <w:t>R5</w:t>
      </w:r>
      <w:r>
        <w:rPr>
          <w:b/>
          <w:bCs/>
        </w:rPr>
        <w:t>]</w:t>
      </w:r>
      <w:r w:rsidRPr="00381329">
        <w:tab/>
      </w:r>
      <w:r w:rsidR="00FB0183" w:rsidRPr="00381329">
        <w:t xml:space="preserve">Since access to data on all </w:t>
      </w:r>
      <w:r w:rsidRPr="001D748C">
        <w:t>PDL</w:t>
      </w:r>
      <w:r>
        <w:t xml:space="preserve"> nodes is unbiased, confidential data or data subject to specific </w:t>
      </w:r>
      <w:r w:rsidR="00381329" w:rsidRPr="00381329">
        <w:t>privileges</w:t>
      </w:r>
      <w:r w:rsidR="00FB0183" w:rsidRPr="00381329">
        <w:t xml:space="preserve"> (e.g. </w:t>
      </w:r>
      <w:r w:rsidRPr="001D748C">
        <w:t>GDPR</w:t>
      </w:r>
      <w:r>
        <w:t xml:space="preserve">) </w:t>
      </w:r>
      <w:r w:rsidR="00FB0183" w:rsidRPr="001D748C">
        <w:rPr>
          <w:b/>
          <w:bCs/>
        </w:rPr>
        <w:t>SHALL</w:t>
      </w:r>
      <w:r w:rsidR="00FB0183" w:rsidRPr="00381329">
        <w:t xml:space="preserve"> be properly encrypted.</w:t>
      </w:r>
    </w:p>
    <w:p w14:paraId="4FC73904" w14:textId="0D6DFA7B" w:rsidR="005A2C44" w:rsidRPr="00381329" w:rsidRDefault="005A2C44" w:rsidP="005A2C44">
      <w:pPr>
        <w:pStyle w:val="Heading2"/>
      </w:pPr>
      <w:bookmarkStart w:id="103" w:name="_Toc160787003"/>
      <w:bookmarkStart w:id="104" w:name="_Toc161049371"/>
      <w:r w:rsidRPr="00381329">
        <w:t>5.4</w:t>
      </w:r>
      <w:r w:rsidRPr="00381329">
        <w:tab/>
        <w:t>Location of nodes</w:t>
      </w:r>
      <w:bookmarkEnd w:id="103"/>
      <w:bookmarkEnd w:id="104"/>
    </w:p>
    <w:p w14:paraId="11AE58A5" w14:textId="737BAB49" w:rsidR="00AA5350" w:rsidRPr="00381329" w:rsidRDefault="00A42E54" w:rsidP="00A42E54">
      <w:pPr>
        <w:pStyle w:val="EX"/>
      </w:pPr>
      <w:r w:rsidRPr="00381329">
        <w:rPr>
          <w:b/>
          <w:bCs/>
        </w:rPr>
        <w:t>[</w:t>
      </w:r>
      <w:r w:rsidRPr="001D748C">
        <w:rPr>
          <w:b/>
          <w:bCs/>
        </w:rPr>
        <w:t>O4</w:t>
      </w:r>
      <w:r>
        <w:rPr>
          <w:b/>
          <w:bCs/>
        </w:rPr>
        <w:t>]</w:t>
      </w:r>
      <w:r w:rsidRPr="00381329">
        <w:rPr>
          <w:b/>
          <w:bCs/>
        </w:rPr>
        <w:tab/>
      </w:r>
      <w:r w:rsidR="00AA5350" w:rsidRPr="00381329">
        <w:t xml:space="preserve">Nodes </w:t>
      </w:r>
      <w:r w:rsidR="00744F12" w:rsidRPr="001D748C">
        <w:rPr>
          <w:b/>
          <w:bCs/>
        </w:rPr>
        <w:t>MAY</w:t>
      </w:r>
      <w:r w:rsidR="00AA5350" w:rsidRPr="00381329">
        <w:t xml:space="preserve"> be located on premisses of a participating entity, in a private cloud and on public cloud. </w:t>
      </w:r>
    </w:p>
    <w:p w14:paraId="4DB89470" w14:textId="3A8064E6" w:rsidR="005A2C44" w:rsidRPr="00381329" w:rsidRDefault="00A42E54" w:rsidP="00A42E54">
      <w:pPr>
        <w:pStyle w:val="EX"/>
      </w:pPr>
      <w:r w:rsidRPr="00381329">
        <w:rPr>
          <w:b/>
          <w:bCs/>
        </w:rPr>
        <w:t>[</w:t>
      </w:r>
      <w:r w:rsidRPr="001D748C">
        <w:rPr>
          <w:b/>
          <w:bCs/>
        </w:rPr>
        <w:t>R6</w:t>
      </w:r>
      <w:r>
        <w:rPr>
          <w:b/>
          <w:bCs/>
        </w:rPr>
        <w:t>]</w:t>
      </w:r>
      <w:r w:rsidRPr="00381329">
        <w:tab/>
      </w:r>
      <w:r w:rsidR="00AA5350" w:rsidRPr="00381329">
        <w:t xml:space="preserve">The location of a node </w:t>
      </w:r>
      <w:r w:rsidR="00AA5350" w:rsidRPr="001D748C">
        <w:rPr>
          <w:b/>
          <w:bCs/>
        </w:rPr>
        <w:t>SHALL</w:t>
      </w:r>
      <w:r w:rsidR="00AA5350" w:rsidRPr="00381329">
        <w:t xml:space="preserve"> comply with </w:t>
      </w:r>
      <w:r w:rsidR="00744F12" w:rsidRPr="00381329">
        <w:t>corporate policies and local legislation where applicable.</w:t>
      </w:r>
    </w:p>
    <w:p w14:paraId="432D153B" w14:textId="64020A7E" w:rsidR="005A2C44" w:rsidRPr="00381329" w:rsidRDefault="005A2C44" w:rsidP="005A2C44">
      <w:pPr>
        <w:pStyle w:val="Heading2"/>
      </w:pPr>
      <w:bookmarkStart w:id="105" w:name="_Toc160787004"/>
      <w:bookmarkStart w:id="106" w:name="_Toc161049372"/>
      <w:r w:rsidRPr="00381329">
        <w:t>5.5</w:t>
      </w:r>
      <w:r w:rsidRPr="00381329">
        <w:tab/>
        <w:t>Chain type</w:t>
      </w:r>
      <w:bookmarkEnd w:id="105"/>
      <w:bookmarkEnd w:id="106"/>
    </w:p>
    <w:p w14:paraId="7210069D" w14:textId="21C4085E" w:rsidR="005A2C44" w:rsidRPr="00381329" w:rsidRDefault="00A42E54" w:rsidP="00A42E54">
      <w:pPr>
        <w:pStyle w:val="EX"/>
      </w:pPr>
      <w:bookmarkStart w:id="107" w:name="_Ref160003321"/>
      <w:r w:rsidRPr="00381329">
        <w:rPr>
          <w:b/>
          <w:bCs/>
        </w:rPr>
        <w:t>[</w:t>
      </w:r>
      <w:r w:rsidRPr="001D748C">
        <w:rPr>
          <w:b/>
          <w:bCs/>
        </w:rPr>
        <w:t>R7</w:t>
      </w:r>
      <w:r>
        <w:rPr>
          <w:b/>
          <w:bCs/>
        </w:rPr>
        <w:t>]</w:t>
      </w:r>
      <w:r w:rsidRPr="00381329">
        <w:tab/>
      </w:r>
      <w:r w:rsidR="00744F12" w:rsidRPr="00381329">
        <w:t xml:space="preserve">Chain type </w:t>
      </w:r>
      <w:r w:rsidR="00744F12" w:rsidRPr="001D748C">
        <w:rPr>
          <w:b/>
          <w:bCs/>
        </w:rPr>
        <w:t>SHALL</w:t>
      </w:r>
      <w:r w:rsidR="00744F12" w:rsidRPr="00381329">
        <w:t xml:space="preserve"> be agreed by all participating entities.</w:t>
      </w:r>
      <w:bookmarkEnd w:id="107"/>
    </w:p>
    <w:p w14:paraId="3EC26933" w14:textId="66B7AEA1" w:rsidR="00744F12" w:rsidRPr="00381329" w:rsidRDefault="00A42E54" w:rsidP="00A42E54">
      <w:pPr>
        <w:pStyle w:val="EX"/>
      </w:pPr>
      <w:r w:rsidRPr="00381329">
        <w:rPr>
          <w:b/>
          <w:bCs/>
        </w:rPr>
        <w:t>[</w:t>
      </w:r>
      <w:r w:rsidRPr="001D748C">
        <w:rPr>
          <w:b/>
          <w:bCs/>
        </w:rPr>
        <w:t>O5</w:t>
      </w:r>
      <w:r>
        <w:rPr>
          <w:b/>
          <w:bCs/>
        </w:rPr>
        <w:t>]</w:t>
      </w:r>
      <w:r w:rsidRPr="00381329">
        <w:rPr>
          <w:b/>
          <w:bCs/>
        </w:rPr>
        <w:tab/>
      </w:r>
      <w:r w:rsidR="00FB0183" w:rsidRPr="00381329">
        <w:t>Subj</w:t>
      </w:r>
      <w:r w:rsidR="00FB0183" w:rsidRPr="00BD593F">
        <w:t xml:space="preserve">ect to </w:t>
      </w:r>
      <w:r w:rsidR="00BD593F" w:rsidRPr="00BD593F">
        <w:t>[</w:t>
      </w:r>
      <w:r w:rsidR="00BD593F">
        <w:t>R7]</w:t>
      </w:r>
      <w:r w:rsidR="00FB0183" w:rsidRPr="00381329">
        <w:t xml:space="preserve"> </w:t>
      </w:r>
      <w:r w:rsidR="00744F12" w:rsidRPr="00381329">
        <w:t xml:space="preserve">The participating entities </w:t>
      </w:r>
      <w:r w:rsidR="00744F12" w:rsidRPr="001D748C">
        <w:rPr>
          <w:b/>
          <w:bCs/>
        </w:rPr>
        <w:t>MAY</w:t>
      </w:r>
      <w:r w:rsidR="00744F12" w:rsidRPr="00381329">
        <w:t xml:space="preserve"> </w:t>
      </w:r>
      <w:r w:rsidR="00FB0183" w:rsidRPr="00381329">
        <w:t>agree to use</w:t>
      </w:r>
      <w:r w:rsidR="00744F12" w:rsidRPr="00381329">
        <w:t xml:space="preserve"> any chain type, be that private, </w:t>
      </w:r>
      <w:proofErr w:type="gramStart"/>
      <w:r w:rsidR="00744F12" w:rsidRPr="00381329">
        <w:t>public</w:t>
      </w:r>
      <w:proofErr w:type="gramEnd"/>
      <w:r w:rsidR="00744F12" w:rsidRPr="00381329">
        <w:t xml:space="preserve"> or side chain, and any consensus mechanism.</w:t>
      </w:r>
    </w:p>
    <w:p w14:paraId="747D026E" w14:textId="6511BB2B" w:rsidR="005A2C44" w:rsidRPr="00381329" w:rsidRDefault="005A2C44" w:rsidP="005A2C44">
      <w:pPr>
        <w:pStyle w:val="Heading2"/>
      </w:pPr>
      <w:bookmarkStart w:id="108" w:name="_Toc160787005"/>
      <w:bookmarkStart w:id="109" w:name="_Toc161049373"/>
      <w:r w:rsidRPr="00381329">
        <w:lastRenderedPageBreak/>
        <w:t>5.6</w:t>
      </w:r>
      <w:r w:rsidRPr="00381329">
        <w:tab/>
        <w:t>Data Sovereignty</w:t>
      </w:r>
      <w:bookmarkEnd w:id="108"/>
      <w:bookmarkEnd w:id="109"/>
    </w:p>
    <w:p w14:paraId="1B9A695E" w14:textId="5A1D9AAD" w:rsidR="005A2C44" w:rsidRPr="00381329" w:rsidRDefault="00A42E54" w:rsidP="00A42E54">
      <w:pPr>
        <w:pStyle w:val="EX"/>
      </w:pPr>
      <w:r w:rsidRPr="00381329">
        <w:rPr>
          <w:b/>
          <w:bCs/>
        </w:rPr>
        <w:t>[</w:t>
      </w:r>
      <w:r w:rsidRPr="001D748C">
        <w:rPr>
          <w:b/>
          <w:bCs/>
        </w:rPr>
        <w:t>R8</w:t>
      </w:r>
      <w:r>
        <w:rPr>
          <w:b/>
          <w:bCs/>
        </w:rPr>
        <w:t>]</w:t>
      </w:r>
      <w:r w:rsidRPr="00381329">
        <w:tab/>
      </w:r>
      <w:r w:rsidR="00744F12" w:rsidRPr="00381329">
        <w:t xml:space="preserve">The chain type, location and ownership of nodes </w:t>
      </w:r>
      <w:r w:rsidR="00744F12" w:rsidRPr="001D748C">
        <w:rPr>
          <w:b/>
          <w:bCs/>
        </w:rPr>
        <w:t>SHALL</w:t>
      </w:r>
      <w:r w:rsidR="00744F12" w:rsidRPr="00381329">
        <w:t xml:space="preserve"> meet </w:t>
      </w:r>
      <w:r w:rsidR="00FB0183" w:rsidRPr="00381329">
        <w:t>all jurisdictional regulatory requirements and all</w:t>
      </w:r>
      <w:r w:rsidR="00744F12" w:rsidRPr="00381329">
        <w:t xml:space="preserve"> data sovereignty requirements defined and agreed between the participating parties.</w:t>
      </w:r>
    </w:p>
    <w:p w14:paraId="41B9646B" w14:textId="03560567" w:rsidR="005A2C44" w:rsidRPr="00381329" w:rsidRDefault="005A2C44" w:rsidP="005A2C44">
      <w:pPr>
        <w:pStyle w:val="Heading2"/>
      </w:pPr>
      <w:bookmarkStart w:id="110" w:name="_Toc160787006"/>
      <w:bookmarkStart w:id="111" w:name="_Toc161049374"/>
      <w:r w:rsidRPr="00381329">
        <w:t>5.7</w:t>
      </w:r>
      <w:r w:rsidRPr="00381329">
        <w:tab/>
        <w:t>Local legislation</w:t>
      </w:r>
      <w:bookmarkEnd w:id="110"/>
      <w:bookmarkEnd w:id="111"/>
    </w:p>
    <w:p w14:paraId="74BC59E8" w14:textId="38CC1EEE" w:rsidR="00744F12" w:rsidRPr="00381329" w:rsidRDefault="00A42E54" w:rsidP="00A42E54">
      <w:pPr>
        <w:pStyle w:val="EX"/>
      </w:pPr>
      <w:r w:rsidRPr="00381329">
        <w:rPr>
          <w:b/>
          <w:bCs/>
        </w:rPr>
        <w:t>[</w:t>
      </w:r>
      <w:r w:rsidRPr="001D748C">
        <w:rPr>
          <w:b/>
          <w:bCs/>
        </w:rPr>
        <w:t>R9</w:t>
      </w:r>
      <w:r>
        <w:rPr>
          <w:b/>
          <w:bCs/>
        </w:rPr>
        <w:t>]</w:t>
      </w:r>
      <w:r w:rsidRPr="00381329">
        <w:tab/>
      </w:r>
      <w:r w:rsidR="00744F12" w:rsidRPr="00381329">
        <w:t xml:space="preserve">The chain type, node ownership, node locations and implemented applications and </w:t>
      </w:r>
      <w:proofErr w:type="gramStart"/>
      <w:r w:rsidR="00744F12" w:rsidRPr="00381329">
        <w:t>smart-contracts</w:t>
      </w:r>
      <w:proofErr w:type="gramEnd"/>
      <w:r w:rsidR="00744F12" w:rsidRPr="00381329">
        <w:t xml:space="preserve"> </w:t>
      </w:r>
      <w:r w:rsidR="00744F12" w:rsidRPr="001D748C">
        <w:rPr>
          <w:b/>
          <w:bCs/>
        </w:rPr>
        <w:t>SHALL</w:t>
      </w:r>
      <w:r w:rsidR="00744F12" w:rsidRPr="00381329">
        <w:t xml:space="preserve"> comply with local legislations in all jurisdictions where such nodes and entities are operated.</w:t>
      </w:r>
    </w:p>
    <w:p w14:paraId="7F1D0103" w14:textId="40A4A337" w:rsidR="00744F12" w:rsidRPr="00381329" w:rsidRDefault="00744F12" w:rsidP="00930E85">
      <w:r w:rsidRPr="00381329">
        <w:t xml:space="preserve">An example of such local legislation </w:t>
      </w:r>
      <w:r w:rsidR="00FB0183" w:rsidRPr="00381329">
        <w:t>is</w:t>
      </w:r>
      <w:r w:rsidR="00930E85" w:rsidRPr="00381329">
        <w:t xml:space="preserve"> </w:t>
      </w:r>
      <w:r w:rsidRPr="001D748C">
        <w:t>GDPR</w:t>
      </w:r>
      <w:r>
        <w:t xml:space="preserve"> compliance.</w:t>
      </w:r>
    </w:p>
    <w:p w14:paraId="13F2DA38" w14:textId="428A5BDD" w:rsidR="00CF79AE" w:rsidRPr="00381329" w:rsidRDefault="002A63B0" w:rsidP="00A83F00">
      <w:pPr>
        <w:pStyle w:val="Heading1"/>
      </w:pPr>
      <w:bookmarkStart w:id="112" w:name="_Ref158622403"/>
      <w:bookmarkStart w:id="113" w:name="_Toc160787007"/>
      <w:bookmarkStart w:id="114" w:name="_Toc161049375"/>
      <w:r w:rsidRPr="00381329">
        <w:t>6</w:t>
      </w:r>
      <w:r w:rsidRPr="00381329">
        <w:tab/>
      </w:r>
      <w:r w:rsidR="00CF79AE" w:rsidRPr="00381329">
        <w:t>Rating</w:t>
      </w:r>
      <w:bookmarkEnd w:id="112"/>
      <w:bookmarkEnd w:id="113"/>
      <w:bookmarkEnd w:id="114"/>
    </w:p>
    <w:p w14:paraId="2CFBB92E" w14:textId="1237D6AD" w:rsidR="00CF79AE" w:rsidRPr="00381329" w:rsidRDefault="00CF79AE" w:rsidP="002A63B0">
      <w:proofErr w:type="gramStart"/>
      <w:r w:rsidRPr="00381329">
        <w:t>For the purpose of</w:t>
      </w:r>
      <w:proofErr w:type="gramEnd"/>
      <w:r w:rsidRPr="00381329">
        <w:t xml:space="preserve"> the present document, the </w:t>
      </w:r>
      <w:r w:rsidR="00B7635D" w:rsidRPr="00381329">
        <w:t xml:space="preserve">term </w:t>
      </w:r>
      <w:r w:rsidR="000B749F" w:rsidRPr="00381329">
        <w:t>'rate'</w:t>
      </w:r>
      <w:r w:rsidRPr="00381329">
        <w:t xml:space="preserve"> </w:t>
      </w:r>
      <w:r w:rsidR="00B7635D" w:rsidRPr="00381329">
        <w:t>represents</w:t>
      </w:r>
      <w:r w:rsidRPr="00381329">
        <w:t xml:space="preserve"> the monetary value of the unit of measurement of a service. For example, </w:t>
      </w:r>
      <w:r w:rsidRPr="00381329">
        <w:rPr>
          <w:i/>
          <w:iCs/>
        </w:rPr>
        <w:t>5 cents</w:t>
      </w:r>
      <w:r w:rsidRPr="00381329">
        <w:t xml:space="preserve"> </w:t>
      </w:r>
      <w:r w:rsidR="00F9083A" w:rsidRPr="00381329">
        <w:t xml:space="preserve">(monetary value) </w:t>
      </w:r>
      <w:r w:rsidRPr="00381329">
        <w:t xml:space="preserve">per </w:t>
      </w:r>
      <w:r w:rsidRPr="00381329">
        <w:rPr>
          <w:i/>
          <w:iCs/>
        </w:rPr>
        <w:t>minute</w:t>
      </w:r>
      <w:r w:rsidR="00B7635D" w:rsidRPr="00381329">
        <w:rPr>
          <w:i/>
          <w:iCs/>
        </w:rPr>
        <w:t xml:space="preserve"> of use</w:t>
      </w:r>
      <w:r w:rsidR="00B7635D" w:rsidRPr="00381329">
        <w:t xml:space="preserve"> </w:t>
      </w:r>
      <w:r w:rsidR="00F9083A" w:rsidRPr="00381329">
        <w:t xml:space="preserve">(unit of measurement) </w:t>
      </w:r>
      <w:r w:rsidR="00B7635D" w:rsidRPr="00381329">
        <w:t xml:space="preserve">of a service; </w:t>
      </w:r>
      <w:r w:rsidR="00F911F5" w:rsidRPr="00F911F5">
        <w:rPr>
          <w:i/>
          <w:iCs/>
        </w:rPr>
        <w:t xml:space="preserve">1 </w:t>
      </w:r>
      <w:r w:rsidRPr="00F911F5">
        <w:rPr>
          <w:i/>
        </w:rPr>
        <w:t>USD</w:t>
      </w:r>
      <w:r w:rsidR="00F911F5" w:rsidRPr="00F911F5">
        <w:rPr>
          <w:i/>
        </w:rPr>
        <w:t xml:space="preserve"> </w:t>
      </w:r>
      <w:r w:rsidRPr="00F911F5">
        <w:rPr>
          <w:i/>
        </w:rPr>
        <w:t>per</w:t>
      </w:r>
      <w:r w:rsidRPr="00381329">
        <w:t xml:space="preserve"> </w:t>
      </w:r>
      <w:r w:rsidRPr="00381329">
        <w:rPr>
          <w:i/>
          <w:iCs/>
        </w:rPr>
        <w:t>mile</w:t>
      </w:r>
      <w:r w:rsidR="00B7635D" w:rsidRPr="00381329">
        <w:t xml:space="preserve"> a service traverses; </w:t>
      </w:r>
      <w:r w:rsidRPr="00381329">
        <w:rPr>
          <w:i/>
          <w:iCs/>
        </w:rPr>
        <w:t>0</w:t>
      </w:r>
      <w:r w:rsidR="00F911F5">
        <w:rPr>
          <w:i/>
          <w:iCs/>
        </w:rPr>
        <w:t>,</w:t>
      </w:r>
      <w:r w:rsidRPr="00381329">
        <w:rPr>
          <w:i/>
          <w:iCs/>
        </w:rPr>
        <w:t xml:space="preserve">05 </w:t>
      </w:r>
      <w:r w:rsidRPr="00F911F5">
        <w:rPr>
          <w:i/>
          <w:iCs/>
        </w:rPr>
        <w:t>cent per</w:t>
      </w:r>
      <w:r w:rsidRPr="00381329">
        <w:t xml:space="preserve"> </w:t>
      </w:r>
      <w:r w:rsidRPr="001D748C">
        <w:rPr>
          <w:i/>
          <w:iCs/>
        </w:rPr>
        <w:t>CPU</w:t>
      </w:r>
      <w:r>
        <w:rPr>
          <w:i/>
          <w:iCs/>
        </w:rPr>
        <w:t xml:space="preserve"> cycle</w:t>
      </w:r>
      <w:r w:rsidRPr="00381329">
        <w:t xml:space="preserve"> </w:t>
      </w:r>
      <w:r w:rsidR="00B7635D" w:rsidRPr="00381329">
        <w:t>consumed by a service</w:t>
      </w:r>
      <w:r w:rsidR="00B7635D" w:rsidRPr="00374555">
        <w:t xml:space="preserve">, </w:t>
      </w:r>
      <w:r w:rsidRPr="00374555">
        <w:t>etc.</w:t>
      </w:r>
    </w:p>
    <w:p w14:paraId="4FFBDF65" w14:textId="4DCCDD93" w:rsidR="00CF79AE" w:rsidRPr="00381329" w:rsidRDefault="00CF79AE" w:rsidP="00CF79AE">
      <w:r w:rsidRPr="00381329">
        <w:t xml:space="preserve">Rating is the </w:t>
      </w:r>
      <w:r w:rsidR="00182069" w:rsidRPr="00381329">
        <w:t xml:space="preserve">act of </w:t>
      </w:r>
      <w:r w:rsidRPr="00381329">
        <w:t xml:space="preserve">application of a rate to a service. Based upon agreed billing interval, utilization records for said interval are matched with and multiplied by </w:t>
      </w:r>
      <w:r w:rsidR="00182069" w:rsidRPr="00381329">
        <w:t xml:space="preserve">the </w:t>
      </w:r>
      <w:r w:rsidRPr="00381329">
        <w:t xml:space="preserve">agreed upon contracted rates yielding rated utilization records. These records are then fed into the invoicing process. </w:t>
      </w:r>
      <w:r w:rsidR="00B7635D" w:rsidRPr="00381329">
        <w:t>E.g.</w:t>
      </w:r>
      <w:r w:rsidR="00F911F5">
        <w:t>,</w:t>
      </w:r>
      <w:r w:rsidR="00B7635D" w:rsidRPr="00381329">
        <w:t xml:space="preserve"> two telephone operators agree that the rate for terminating a telephone call in the </w:t>
      </w:r>
      <w:r w:rsidRPr="001D748C">
        <w:t>USA</w:t>
      </w:r>
      <w:r>
        <w:t xml:space="preserve"> is 5 </w:t>
      </w:r>
      <w:r w:rsidRPr="001D748C">
        <w:t>USD</w:t>
      </w:r>
      <w:r>
        <w:t xml:space="preserve"> cents per minute. They also agree on a monthly billing interval occurring on the last second of the last day of each month. The cumulative duration of calls destined to the </w:t>
      </w:r>
      <w:r w:rsidRPr="001D748C">
        <w:t>USA</w:t>
      </w:r>
      <w:r>
        <w:t xml:space="preserve"> that one carrier had sent to the other carrier </w:t>
      </w:r>
      <w:r w:rsidR="00182069" w:rsidRPr="00381329">
        <w:t>is</w:t>
      </w:r>
      <w:r w:rsidR="00B7635D" w:rsidRPr="00381329">
        <w:t xml:space="preserve"> measured</w:t>
      </w:r>
      <w:r w:rsidR="00F075C0" w:rsidRPr="00381329">
        <w:t xml:space="preserve"> throughout the entire month</w:t>
      </w:r>
      <w:r w:rsidR="00B7635D" w:rsidRPr="00381329">
        <w:t xml:space="preserve"> and counted on the last second of </w:t>
      </w:r>
      <w:r w:rsidR="00F075C0" w:rsidRPr="00381329">
        <w:t xml:space="preserve">that month and turned out </w:t>
      </w:r>
      <w:r w:rsidR="00182069" w:rsidRPr="00381329">
        <w:t xml:space="preserve">(for the purpose of this simplified example) </w:t>
      </w:r>
      <w:r w:rsidR="00F075C0" w:rsidRPr="00381329">
        <w:t>to be exactly one</w:t>
      </w:r>
      <w:r w:rsidR="00B7635D" w:rsidRPr="00381329">
        <w:t xml:space="preserve"> million minutes. </w:t>
      </w:r>
      <w:r w:rsidR="00F075C0" w:rsidRPr="00381329">
        <w:t xml:space="preserve">By multiplying the measured cumulative duration (1 million minutes) by the agreed upon </w:t>
      </w:r>
      <w:r w:rsidR="00182069" w:rsidRPr="00381329">
        <w:t xml:space="preserve">and contracted </w:t>
      </w:r>
      <w:r w:rsidR="00F075C0" w:rsidRPr="00381329">
        <w:t xml:space="preserve">rate of 5 </w:t>
      </w:r>
      <w:r w:rsidRPr="001D748C">
        <w:t>USD</w:t>
      </w:r>
      <w:r>
        <w:t xml:space="preserve"> cents per minute </w:t>
      </w:r>
      <w:r w:rsidR="00182069" w:rsidRPr="00381329">
        <w:t>the total due amount</w:t>
      </w:r>
      <w:r w:rsidR="00F075C0" w:rsidRPr="00381329">
        <w:t xml:space="preserve"> </w:t>
      </w:r>
      <w:r w:rsidR="00182069" w:rsidRPr="00381329">
        <w:t>sums</w:t>
      </w:r>
      <w:r w:rsidR="00F075C0" w:rsidRPr="00381329">
        <w:t xml:space="preserve"> up </w:t>
      </w:r>
      <w:r w:rsidR="00182069" w:rsidRPr="00381329">
        <w:t>to</w:t>
      </w:r>
      <w:r w:rsidR="00F075C0" w:rsidRPr="00381329">
        <w:t xml:space="preserve"> </w:t>
      </w:r>
      <w:commentRangeStart w:id="115"/>
      <w:commentRangeStart w:id="116"/>
      <w:r w:rsidR="00F075C0" w:rsidRPr="00381329">
        <w:t>1</w:t>
      </w:r>
      <w:r w:rsidR="00F911F5">
        <w:t xml:space="preserve"> </w:t>
      </w:r>
      <w:r w:rsidR="00F075C0" w:rsidRPr="00381329">
        <w:t>000</w:t>
      </w:r>
      <w:r w:rsidR="00F911F5">
        <w:t xml:space="preserve"> </w:t>
      </w:r>
      <w:r w:rsidR="00F075C0" w:rsidRPr="00381329">
        <w:t>000</w:t>
      </w:r>
      <w:commentRangeEnd w:id="115"/>
      <w:r w:rsidR="00BD593F">
        <w:rPr>
          <w:rStyle w:val="CommentReference"/>
        </w:rPr>
        <w:commentReference w:id="115"/>
      </w:r>
      <w:commentRangeEnd w:id="116"/>
      <w:r w:rsidR="00F911F5">
        <w:rPr>
          <w:rStyle w:val="CommentReference"/>
        </w:rPr>
        <w:commentReference w:id="116"/>
      </w:r>
      <w:r w:rsidR="00F075C0" w:rsidRPr="00381329">
        <w:t xml:space="preserve"> minutes x 0</w:t>
      </w:r>
      <w:r w:rsidR="00F911F5">
        <w:t>,</w:t>
      </w:r>
      <w:r w:rsidR="00F075C0" w:rsidRPr="00381329">
        <w:t xml:space="preserve">05 </w:t>
      </w:r>
      <w:r w:rsidRPr="001D748C">
        <w:t>USD</w:t>
      </w:r>
      <w:r>
        <w:t>/minute = 50</w:t>
      </w:r>
      <w:r w:rsidR="00F911F5">
        <w:t xml:space="preserve"> </w:t>
      </w:r>
      <w:r>
        <w:t xml:space="preserve">000 </w:t>
      </w:r>
      <w:r w:rsidRPr="001D748C">
        <w:t>USD</w:t>
      </w:r>
      <w:r>
        <w:t>.</w:t>
      </w:r>
      <w:r w:rsidR="00B7635D" w:rsidRPr="00381329">
        <w:t xml:space="preserve"> </w:t>
      </w:r>
    </w:p>
    <w:p w14:paraId="0CB5FCB0" w14:textId="5508B471" w:rsidR="00CF79AE" w:rsidRPr="00381329" w:rsidRDefault="00A42E54" w:rsidP="00A42E54">
      <w:pPr>
        <w:pStyle w:val="EX"/>
      </w:pPr>
      <w:r w:rsidRPr="00381329">
        <w:rPr>
          <w:b/>
          <w:bCs/>
        </w:rPr>
        <w:t>[</w:t>
      </w:r>
      <w:r w:rsidRPr="001D748C">
        <w:rPr>
          <w:b/>
          <w:bCs/>
        </w:rPr>
        <w:t>R</w:t>
      </w:r>
      <w:r w:rsidR="00F8613E" w:rsidRPr="001D748C">
        <w:rPr>
          <w:b/>
          <w:bCs/>
        </w:rPr>
        <w:t>10</w:t>
      </w:r>
      <w:r>
        <w:rPr>
          <w:b/>
          <w:bCs/>
        </w:rPr>
        <w:t>]</w:t>
      </w:r>
      <w:r w:rsidRPr="00381329">
        <w:tab/>
      </w:r>
      <w:r w:rsidR="00F075C0" w:rsidRPr="00381329">
        <w:t>A Seller</w:t>
      </w:r>
      <w:r w:rsidR="00CF79AE" w:rsidRPr="00381329">
        <w:t xml:space="preserve"> </w:t>
      </w:r>
      <w:r w:rsidR="00F075C0" w:rsidRPr="001D748C">
        <w:rPr>
          <w:b/>
          <w:bCs/>
        </w:rPr>
        <w:t>SHALL</w:t>
      </w:r>
      <w:r w:rsidR="00CF79AE" w:rsidRPr="00381329">
        <w:t xml:space="preserve"> rate utilization records according to agreed-upon and contracted rates between </w:t>
      </w:r>
      <w:r w:rsidR="00F075C0" w:rsidRPr="00381329">
        <w:t>the Seller</w:t>
      </w:r>
      <w:r w:rsidR="00CF79AE" w:rsidRPr="00381329">
        <w:t xml:space="preserve"> and </w:t>
      </w:r>
      <w:r w:rsidR="00F075C0" w:rsidRPr="00381329">
        <w:t xml:space="preserve">the </w:t>
      </w:r>
      <w:r w:rsidR="00CF79AE" w:rsidRPr="00381329">
        <w:t>Buyer.</w:t>
      </w:r>
    </w:p>
    <w:p w14:paraId="728B084A" w14:textId="6D47EB9B" w:rsidR="00374555" w:rsidRDefault="00F075C0" w:rsidP="00F075C0">
      <w:r w:rsidRPr="00381329">
        <w:t xml:space="preserve">The Buyer and Seller may add clauses to their agreement that apply certain discounts or penalties when certain conditions are met. E.g. in the example above the Buyer and Seller may agree </w:t>
      </w:r>
      <w:r w:rsidR="00F9083A" w:rsidRPr="00381329">
        <w:t xml:space="preserve">on a volume discount scheme such </w:t>
      </w:r>
      <w:r w:rsidRPr="00381329">
        <w:t xml:space="preserve">that any minute </w:t>
      </w:r>
      <w:proofErr w:type="gramStart"/>
      <w:r w:rsidRPr="00381329">
        <w:t>in excess of</w:t>
      </w:r>
      <w:proofErr w:type="gramEnd"/>
      <w:r w:rsidRPr="00381329">
        <w:t xml:space="preserve"> 800</w:t>
      </w:r>
      <w:r w:rsidR="00F911F5">
        <w:t xml:space="preserve"> </w:t>
      </w:r>
      <w:r w:rsidRPr="00381329">
        <w:t xml:space="preserve">000 minutes </w:t>
      </w:r>
      <w:r w:rsidR="00F9083A" w:rsidRPr="00381329">
        <w:t>is</w:t>
      </w:r>
      <w:r w:rsidRPr="00381329">
        <w:t xml:space="preserve"> billed at a rate of 4 </w:t>
      </w:r>
      <w:r w:rsidRPr="001D748C">
        <w:t>USD</w:t>
      </w:r>
      <w:r>
        <w:t xml:space="preserve"> cents per minute rather than the full price of 5 </w:t>
      </w:r>
      <w:r w:rsidRPr="001D748C">
        <w:t>USD</w:t>
      </w:r>
      <w:r>
        <w:t xml:space="preserve"> cents per minute. In such case the </w:t>
      </w:r>
      <w:r w:rsidR="0066666D" w:rsidRPr="00381329">
        <w:t>calculation shall look as follows: 800</w:t>
      </w:r>
      <w:r w:rsidR="00F911F5">
        <w:t xml:space="preserve"> </w:t>
      </w:r>
      <w:r w:rsidR="0066666D" w:rsidRPr="00381329">
        <w:t>000 minutes x 0</w:t>
      </w:r>
      <w:r w:rsidR="00F911F5">
        <w:t>,</w:t>
      </w:r>
      <w:r w:rsidR="0066666D" w:rsidRPr="00381329">
        <w:t xml:space="preserve">05 </w:t>
      </w:r>
      <w:r w:rsidRPr="001D748C">
        <w:t>USD</w:t>
      </w:r>
      <w:r>
        <w:t>/minute + 200</w:t>
      </w:r>
      <w:r w:rsidR="00F911F5">
        <w:t xml:space="preserve"> </w:t>
      </w:r>
      <w:r>
        <w:t>000 minutes x 0</w:t>
      </w:r>
      <w:r w:rsidR="00F911F5">
        <w:t>,</w:t>
      </w:r>
      <w:r>
        <w:t xml:space="preserve">04 </w:t>
      </w:r>
      <w:r w:rsidRPr="001D748C">
        <w:t>USD</w:t>
      </w:r>
      <w:r>
        <w:t>/minute = 48</w:t>
      </w:r>
      <w:r w:rsidR="00F911F5">
        <w:t xml:space="preserve"> </w:t>
      </w:r>
      <w:r>
        <w:t xml:space="preserve">000 </w:t>
      </w:r>
      <w:r w:rsidRPr="001D748C">
        <w:t>USD</w:t>
      </w:r>
      <w:r>
        <w:t>.</w:t>
      </w:r>
      <w:r w:rsidR="00182069" w:rsidRPr="00381329">
        <w:t xml:space="preserve"> Another example may involve data connectivity service provided by a Seller to a Buyer, that is subject to </w:t>
      </w:r>
      <w:r w:rsidRPr="001D748C">
        <w:t>SLA</w:t>
      </w:r>
      <w:r>
        <w:t xml:space="preserve"> penalties </w:t>
      </w:r>
      <w:r w:rsidR="00F9083A" w:rsidRPr="00381329">
        <w:t>if</w:t>
      </w:r>
      <w:r w:rsidR="00182069" w:rsidRPr="00381329">
        <w:t xml:space="preserve"> the service quality drops below a certain level. In such event the Buyer may be eligible to receive </w:t>
      </w:r>
      <w:r w:rsidRPr="001D748C">
        <w:t>SLA</w:t>
      </w:r>
      <w:r>
        <w:t xml:space="preserve"> credits from the </w:t>
      </w:r>
      <w:r w:rsidR="00F9083A" w:rsidRPr="00381329">
        <w:t xml:space="preserve">Seller. Suppose such service is rated at </w:t>
      </w:r>
      <w:r w:rsidRPr="001D748C">
        <w:t>USD</w:t>
      </w:r>
      <w:r>
        <w:t xml:space="preserve"> 1 per </w:t>
      </w:r>
      <w:r w:rsidRPr="001D748C">
        <w:t>MBPS</w:t>
      </w:r>
      <w:r>
        <w:t xml:space="preserve"> of maximum usage during a calendar month and the measurement of the usage during such month was 1,000 </w:t>
      </w:r>
      <w:r w:rsidRPr="001D748C">
        <w:t>MBPS</w:t>
      </w:r>
      <w:r>
        <w:t xml:space="preserve"> yielding a monthly fee of </w:t>
      </w:r>
      <w:r w:rsidR="00640B87" w:rsidRPr="00381329">
        <w:t>1</w:t>
      </w:r>
      <w:r w:rsidR="00F911F5">
        <w:t xml:space="preserve"> </w:t>
      </w:r>
      <w:r w:rsidR="00640B87" w:rsidRPr="00381329">
        <w:t xml:space="preserve">000 </w:t>
      </w:r>
      <w:r w:rsidRPr="001D748C">
        <w:t>MBPS</w:t>
      </w:r>
      <w:r>
        <w:t xml:space="preserve"> </w:t>
      </w:r>
      <w:r w:rsidR="00F9083A" w:rsidRPr="00381329">
        <w:t>at</w:t>
      </w:r>
      <w:r w:rsidR="00640B87" w:rsidRPr="00381329">
        <w:t xml:space="preserve"> 1 </w:t>
      </w:r>
      <w:r w:rsidR="00F9083A" w:rsidRPr="001D748C">
        <w:t>USD</w:t>
      </w:r>
      <w:r>
        <w:t xml:space="preserve"> per </w:t>
      </w:r>
      <w:r w:rsidR="00640B87" w:rsidRPr="001D748C">
        <w:t>MBPS</w:t>
      </w:r>
      <w:r>
        <w:t xml:space="preserve">/Month = </w:t>
      </w:r>
      <w:r w:rsidRPr="001D748C">
        <w:t>USD</w:t>
      </w:r>
      <w:r>
        <w:t xml:space="preserve"> 1</w:t>
      </w:r>
      <w:r w:rsidR="00F911F5">
        <w:t xml:space="preserve"> </w:t>
      </w:r>
      <w:r>
        <w:t>000. However,</w:t>
      </w:r>
      <w:r w:rsidR="00640B87" w:rsidRPr="00381329">
        <w:t xml:space="preserve"> </w:t>
      </w:r>
      <w:r w:rsidR="00E7242A" w:rsidRPr="00381329">
        <w:t>if</w:t>
      </w:r>
      <w:r w:rsidR="00640B87" w:rsidRPr="00381329">
        <w:t xml:space="preserve"> during said month the service had suffered certain intermittent outages that were measured and recorded and, according to the </w:t>
      </w:r>
      <w:r w:rsidRPr="001D748C">
        <w:t>SLA</w:t>
      </w:r>
      <w:r>
        <w:t xml:space="preserve"> signed between the Buyer and Seller, the Buyer is eligible to a credit worth </w:t>
      </w:r>
      <w:r w:rsidRPr="001D748C">
        <w:t>USD</w:t>
      </w:r>
      <w:r>
        <w:t xml:space="preserve"> 100 for that month</w:t>
      </w:r>
      <w:r w:rsidR="00F911F5">
        <w:t>.</w:t>
      </w:r>
    </w:p>
    <w:p w14:paraId="64D8D355" w14:textId="2F788E7A" w:rsidR="00374555" w:rsidRDefault="00374555" w:rsidP="00374555">
      <w:pPr>
        <w:pStyle w:val="NO"/>
      </w:pPr>
      <w:r>
        <w:t>NOTE:</w:t>
      </w:r>
      <w:r>
        <w:tab/>
        <w:t>T</w:t>
      </w:r>
      <w:r w:rsidR="00F075C0">
        <w:t xml:space="preserve">he methods of measurement and calculation of such credits are out of scope of the </w:t>
      </w:r>
      <w:r w:rsidR="00381329" w:rsidRPr="00381329">
        <w:t>present</w:t>
      </w:r>
      <w:r w:rsidR="00640B87" w:rsidRPr="00381329">
        <w:t xml:space="preserve"> document. </w:t>
      </w:r>
    </w:p>
    <w:p w14:paraId="47C9E8D9" w14:textId="47B719F3" w:rsidR="00F075C0" w:rsidRPr="00381329" w:rsidRDefault="00640B87" w:rsidP="00F075C0">
      <w:r w:rsidRPr="00381329">
        <w:t xml:space="preserve">In such case the total due amount will be </w:t>
      </w:r>
      <w:r w:rsidR="00F075C0" w:rsidRPr="001D748C">
        <w:t>USD</w:t>
      </w:r>
      <w:r w:rsidR="00F075C0">
        <w:t xml:space="preserve"> 1</w:t>
      </w:r>
      <w:r w:rsidR="00F911F5">
        <w:t xml:space="preserve"> </w:t>
      </w:r>
      <w:r w:rsidR="00F075C0">
        <w:t xml:space="preserve">000 (based on rating) minus 100 (credit amount) = </w:t>
      </w:r>
      <w:r w:rsidR="00F075C0" w:rsidRPr="001D748C">
        <w:t>USD</w:t>
      </w:r>
      <w:r w:rsidR="00F075C0">
        <w:t xml:space="preserve"> 900.</w:t>
      </w:r>
    </w:p>
    <w:p w14:paraId="3CAB9AFE" w14:textId="0E270EF9" w:rsidR="00CF79AE" w:rsidRPr="00381329" w:rsidRDefault="00A42E54" w:rsidP="00A42E54">
      <w:pPr>
        <w:pStyle w:val="EX"/>
      </w:pPr>
      <w:r w:rsidRPr="00381329">
        <w:rPr>
          <w:b/>
          <w:bCs/>
        </w:rPr>
        <w:t>[</w:t>
      </w:r>
      <w:r w:rsidRPr="001D748C">
        <w:rPr>
          <w:b/>
          <w:bCs/>
        </w:rPr>
        <w:t>O</w:t>
      </w:r>
      <w:r w:rsidR="00F8613E" w:rsidRPr="001D748C">
        <w:rPr>
          <w:b/>
          <w:bCs/>
        </w:rPr>
        <w:t>6</w:t>
      </w:r>
      <w:r>
        <w:rPr>
          <w:b/>
          <w:bCs/>
        </w:rPr>
        <w:t>]</w:t>
      </w:r>
      <w:r w:rsidRPr="00381329">
        <w:rPr>
          <w:b/>
          <w:bCs/>
        </w:rPr>
        <w:tab/>
      </w:r>
      <w:r w:rsidR="0066666D" w:rsidRPr="00381329">
        <w:t>The</w:t>
      </w:r>
      <w:r w:rsidR="00CF79AE" w:rsidRPr="00381329">
        <w:t xml:space="preserve"> rating process </w:t>
      </w:r>
      <w:r w:rsidR="00CF79AE" w:rsidRPr="001D748C">
        <w:rPr>
          <w:b/>
          <w:bCs/>
        </w:rPr>
        <w:t>MAY</w:t>
      </w:r>
      <w:r w:rsidR="00CF79AE" w:rsidRPr="00381329">
        <w:t xml:space="preserve"> include application of discounts </w:t>
      </w:r>
      <w:r w:rsidR="0066666D" w:rsidRPr="00381329">
        <w:t xml:space="preserve">and/or penalties </w:t>
      </w:r>
      <w:r w:rsidR="00CF79AE" w:rsidRPr="00381329">
        <w:t>based on volume or type of data transactions</w:t>
      </w:r>
      <w:r w:rsidR="0066666D" w:rsidRPr="00381329">
        <w:t xml:space="preserve"> or events</w:t>
      </w:r>
      <w:r w:rsidR="00CF79AE" w:rsidRPr="00381329">
        <w:t xml:space="preserve"> as mutually agreed by both parties.</w:t>
      </w:r>
    </w:p>
    <w:p w14:paraId="2421634B" w14:textId="20BACE1E" w:rsidR="00EA7B3F" w:rsidRPr="00381329" w:rsidRDefault="00A42E54" w:rsidP="00A42E54">
      <w:pPr>
        <w:pStyle w:val="EX"/>
        <w:rPr>
          <w:rFonts w:eastAsiaTheme="majorEastAsia"/>
        </w:rPr>
      </w:pPr>
      <w:r w:rsidRPr="00381329">
        <w:rPr>
          <w:b/>
          <w:bCs/>
        </w:rPr>
        <w:t>[</w:t>
      </w:r>
      <w:r w:rsidRPr="001D748C">
        <w:rPr>
          <w:b/>
          <w:bCs/>
        </w:rPr>
        <w:t>D4</w:t>
      </w:r>
      <w:r>
        <w:rPr>
          <w:b/>
          <w:bCs/>
        </w:rPr>
        <w:t>]</w:t>
      </w:r>
      <w:r w:rsidRPr="00381329">
        <w:rPr>
          <w:b/>
          <w:bCs/>
        </w:rPr>
        <w:tab/>
      </w:r>
      <w:r w:rsidR="0066666D" w:rsidRPr="00381329">
        <w:rPr>
          <w:rFonts w:eastAsiaTheme="majorEastAsia"/>
        </w:rPr>
        <w:t xml:space="preserve">When the data is processed through a </w:t>
      </w:r>
      <w:r w:rsidRPr="001D748C">
        <w:rPr>
          <w:rFonts w:eastAsiaTheme="majorEastAsia"/>
        </w:rPr>
        <w:t>PDL</w:t>
      </w:r>
      <w:r>
        <w:rPr>
          <w:rFonts w:eastAsiaTheme="majorEastAsia"/>
        </w:rPr>
        <w:t xml:space="preserve"> platform the rating </w:t>
      </w:r>
      <w:r w:rsidR="0066666D" w:rsidRPr="001D748C">
        <w:rPr>
          <w:rFonts w:eastAsiaTheme="majorEastAsia"/>
          <w:b/>
          <w:bCs/>
        </w:rPr>
        <w:t>SHOULD</w:t>
      </w:r>
      <w:r w:rsidR="0066666D" w:rsidRPr="00381329">
        <w:rPr>
          <w:rFonts w:eastAsiaTheme="majorEastAsia"/>
        </w:rPr>
        <w:t xml:space="preserve"> be performed using a </w:t>
      </w:r>
      <w:proofErr w:type="gramStart"/>
      <w:r w:rsidR="0066666D" w:rsidRPr="00381329">
        <w:rPr>
          <w:rFonts w:eastAsiaTheme="majorEastAsia"/>
        </w:rPr>
        <w:t>smart-contract</w:t>
      </w:r>
      <w:proofErr w:type="gramEnd"/>
      <w:r w:rsidR="0066666D" w:rsidRPr="00381329">
        <w:rPr>
          <w:rFonts w:eastAsiaTheme="majorEastAsia"/>
        </w:rPr>
        <w:t>.</w:t>
      </w:r>
    </w:p>
    <w:p w14:paraId="5D1AF3AD" w14:textId="10FF9067" w:rsidR="00EA7B3F" w:rsidRPr="00381329" w:rsidRDefault="00EA7B3F" w:rsidP="00EA7B3F">
      <w:pPr>
        <w:pStyle w:val="Heading1"/>
        <w:rPr>
          <w:rStyle w:val="Heading2Char"/>
          <w:sz w:val="36"/>
        </w:rPr>
      </w:pPr>
      <w:bookmarkStart w:id="117" w:name="_Ref158622455"/>
      <w:bookmarkStart w:id="118" w:name="_Toc160787008"/>
      <w:bookmarkStart w:id="119" w:name="_Toc161049376"/>
      <w:r w:rsidRPr="00381329">
        <w:lastRenderedPageBreak/>
        <w:t>7</w:t>
      </w:r>
      <w:r w:rsidRPr="00381329">
        <w:tab/>
      </w:r>
      <w:r w:rsidRPr="00381329">
        <w:rPr>
          <w:rStyle w:val="Heading2Char"/>
          <w:sz w:val="36"/>
        </w:rPr>
        <w:t>Reconciliation</w:t>
      </w:r>
      <w:bookmarkEnd w:id="117"/>
      <w:bookmarkEnd w:id="118"/>
      <w:bookmarkEnd w:id="119"/>
    </w:p>
    <w:p w14:paraId="6E030C43" w14:textId="24F229B0" w:rsidR="00EA7B3F" w:rsidRPr="00381329" w:rsidRDefault="00EA7B3F" w:rsidP="00EA7B3F">
      <w:pPr>
        <w:pStyle w:val="Heading2"/>
      </w:pPr>
      <w:bookmarkStart w:id="120" w:name="_Toc160787009"/>
      <w:bookmarkStart w:id="121" w:name="_Toc161049377"/>
      <w:r w:rsidRPr="00381329">
        <w:t>7.1</w:t>
      </w:r>
      <w:r w:rsidRPr="00381329">
        <w:tab/>
        <w:t>Definition of Reconciliation</w:t>
      </w:r>
      <w:bookmarkEnd w:id="120"/>
      <w:bookmarkEnd w:id="121"/>
    </w:p>
    <w:p w14:paraId="2B274CC6" w14:textId="4164D917" w:rsidR="00EA7B3F" w:rsidRPr="00381329" w:rsidRDefault="00EA7B3F" w:rsidP="00EA7B3F">
      <w:r w:rsidRPr="00381329">
        <w:t>Reconciliation is defined, for the purposes of th</w:t>
      </w:r>
      <w:r w:rsidR="00381329" w:rsidRPr="00381329">
        <w:t>e present</w:t>
      </w:r>
      <w:r w:rsidRPr="00381329">
        <w:t xml:space="preserve"> document, as the process of reaching agreement on the amount to be settled between neighbouring entities in the Supply Chain (i.e. Buyer and Seller).</w:t>
      </w:r>
    </w:p>
    <w:p w14:paraId="05FA4D12" w14:textId="4824E7EC" w:rsidR="00EA7B3F" w:rsidRPr="00381329" w:rsidRDefault="00A42E54" w:rsidP="00A42E54">
      <w:pPr>
        <w:pStyle w:val="EX"/>
      </w:pPr>
      <w:r w:rsidRPr="00381329">
        <w:rPr>
          <w:b/>
          <w:bCs/>
        </w:rPr>
        <w:t>[</w:t>
      </w:r>
      <w:r w:rsidRPr="001D748C">
        <w:rPr>
          <w:b/>
          <w:bCs/>
        </w:rPr>
        <w:t>O</w:t>
      </w:r>
      <w:r w:rsidR="00F8613E" w:rsidRPr="001D748C">
        <w:rPr>
          <w:b/>
          <w:bCs/>
        </w:rPr>
        <w:t>7</w:t>
      </w:r>
      <w:r>
        <w:rPr>
          <w:b/>
          <w:bCs/>
        </w:rPr>
        <w:t>]</w:t>
      </w:r>
      <w:r w:rsidRPr="00381329">
        <w:rPr>
          <w:b/>
          <w:bCs/>
        </w:rPr>
        <w:tab/>
      </w:r>
      <w:r w:rsidR="00EA7B3F" w:rsidRPr="00381329">
        <w:t xml:space="preserve">Reconciliation </w:t>
      </w:r>
      <w:r w:rsidR="00EA7B3F" w:rsidRPr="001D748C">
        <w:rPr>
          <w:b/>
          <w:bCs/>
        </w:rPr>
        <w:t>MAY</w:t>
      </w:r>
      <w:r w:rsidR="00EA7B3F" w:rsidRPr="00381329">
        <w:t xml:space="preserve"> occur prior to or after issuance of an invoice. </w:t>
      </w:r>
    </w:p>
    <w:p w14:paraId="53250917" w14:textId="5A04AF66" w:rsidR="0052305A" w:rsidRPr="00381329" w:rsidRDefault="0052305A" w:rsidP="00045847">
      <w:r w:rsidRPr="00381329">
        <w:t xml:space="preserve">In the event there is </w:t>
      </w:r>
      <w:r w:rsidR="00640B87" w:rsidRPr="00381329">
        <w:t xml:space="preserve">only </w:t>
      </w:r>
      <w:r w:rsidRPr="00381329">
        <w:t xml:space="preserve">a single source of data as described in </w:t>
      </w:r>
      <w:r w:rsidR="00381329" w:rsidRPr="00381329">
        <w:t>clause</w:t>
      </w:r>
      <w:r w:rsidRPr="00381329">
        <w:t xml:space="preserve"> </w:t>
      </w:r>
      <w:r w:rsidR="00A56930" w:rsidRPr="00381329">
        <w:fldChar w:fldCharType="begin"/>
      </w:r>
      <w:r w:rsidR="00A56930" w:rsidRPr="00381329">
        <w:instrText xml:space="preserve"> REF _Ref160446017 \h </w:instrText>
      </w:r>
      <w:r w:rsidR="00A56930" w:rsidRPr="00381329">
        <w:fldChar w:fldCharType="separate"/>
      </w:r>
      <w:r w:rsidR="00654C79" w:rsidRPr="00381329">
        <w:t>4.2.1</w:t>
      </w:r>
      <w:r w:rsidR="00654C79" w:rsidRPr="00381329">
        <w:tab/>
        <w:t>Single-Sourced data</w:t>
      </w:r>
      <w:r w:rsidR="00A56930" w:rsidRPr="00381329">
        <w:fldChar w:fldCharType="end"/>
      </w:r>
      <w:r w:rsidRPr="00381329">
        <w:t xml:space="preserve">, reconciliation </w:t>
      </w:r>
      <w:r w:rsidR="00640B87" w:rsidRPr="00381329">
        <w:t>is based on that source</w:t>
      </w:r>
      <w:r w:rsidR="00045847" w:rsidRPr="00381329">
        <w:t xml:space="preserve"> alone. In absence of other </w:t>
      </w:r>
      <w:r w:rsidR="00640B87" w:rsidRPr="00381329">
        <w:t xml:space="preserve">data that may contradict that single source of information, the ability of parties other than the one performing the measurements </w:t>
      </w:r>
      <w:r w:rsidR="00045847" w:rsidRPr="00381329">
        <w:t xml:space="preserve">to dispute the amount requested by the Seller </w:t>
      </w:r>
      <w:r w:rsidR="00640B87" w:rsidRPr="00381329">
        <w:t xml:space="preserve">is limited. </w:t>
      </w:r>
      <w:r w:rsidR="001D5497" w:rsidRPr="00381329">
        <w:t xml:space="preserve">Such parties may dispute the rating (i.e. the rate applied to the measurements) but not the measurement itself. Example: Consider a scenario where the Seller is the only party performing measurements (i.e. in a mobile roaming scenario measurement of the data consumption of the roaming user is performed only by the hosting mobile operator). In such scenario the buyer (be that the home mobile operator or even the mobile user itself) is unable to dispute the volume of data stated by the </w:t>
      </w:r>
      <w:r w:rsidR="00045847" w:rsidRPr="00381329">
        <w:t>hosting</w:t>
      </w:r>
      <w:r w:rsidR="001D5497" w:rsidRPr="00381329">
        <w:t xml:space="preserve"> </w:t>
      </w:r>
      <w:r w:rsidR="00045847" w:rsidRPr="00381329">
        <w:t>operator but</w:t>
      </w:r>
      <w:r w:rsidR="001D5497" w:rsidRPr="00381329">
        <w:t xml:space="preserve"> is still able to check if the rate that was applied</w:t>
      </w:r>
      <w:r w:rsidR="00045847" w:rsidRPr="00381329">
        <w:t xml:space="preserve"> by the hosting operator</w:t>
      </w:r>
      <w:r w:rsidR="001D5497" w:rsidRPr="00381329">
        <w:t xml:space="preserve"> per unit of data was indeed according to the agreed upon roaming rate between the home operator and the hosting operator. </w:t>
      </w:r>
      <w:proofErr w:type="gramStart"/>
      <w:r w:rsidR="001D5497" w:rsidRPr="00381329">
        <w:t>In the event that</w:t>
      </w:r>
      <w:proofErr w:type="gramEnd"/>
      <w:r w:rsidR="001D5497" w:rsidRPr="00381329">
        <w:t xml:space="preserve"> the Buyer suspects that a wrong rate was applied </w:t>
      </w:r>
      <w:r w:rsidR="000B749F" w:rsidRPr="00381329">
        <w:t>-</w:t>
      </w:r>
      <w:r w:rsidR="001D5497" w:rsidRPr="00381329">
        <w:t xml:space="preserve"> it may dispute the rating and negotiate with the seller </w:t>
      </w:r>
      <w:r w:rsidR="00045847" w:rsidRPr="00381329">
        <w:t>towards reconciliation.</w:t>
      </w:r>
      <w:r w:rsidR="001D5497" w:rsidRPr="00381329">
        <w:t xml:space="preserve"> </w:t>
      </w:r>
    </w:p>
    <w:p w14:paraId="7E67012C" w14:textId="4E800F3F" w:rsidR="00DF6D6D" w:rsidRPr="00381329" w:rsidRDefault="00DF6D6D" w:rsidP="00045847">
      <w:r w:rsidRPr="00381329">
        <w:t xml:space="preserve">Reconciliation may involve resolution of disputes </w:t>
      </w:r>
      <w:r w:rsidR="009F47BE" w:rsidRPr="00381329">
        <w:t xml:space="preserve">and discrepancies </w:t>
      </w:r>
      <w:r w:rsidRPr="00381329">
        <w:t>between the Buyer and the Seller. Several methods and approaches to dispute resolution</w:t>
      </w:r>
      <w:r w:rsidR="009F47BE" w:rsidRPr="00381329">
        <w:t xml:space="preserve"> are discussed in </w:t>
      </w:r>
      <w:r w:rsidR="00381329" w:rsidRPr="00381329">
        <w:t>clause</w:t>
      </w:r>
      <w:r w:rsidR="009F47BE" w:rsidRPr="00381329">
        <w:t xml:space="preserve"> </w:t>
      </w:r>
      <w:r w:rsidR="009F47BE" w:rsidRPr="00381329">
        <w:fldChar w:fldCharType="begin"/>
      </w:r>
      <w:r w:rsidR="009F47BE" w:rsidRPr="00381329">
        <w:instrText xml:space="preserve"> REF _Ref157420072 \h </w:instrText>
      </w:r>
      <w:r w:rsidR="009F47BE" w:rsidRPr="00381329">
        <w:fldChar w:fldCharType="separate"/>
      </w:r>
      <w:r w:rsidR="00654C79" w:rsidRPr="00381329">
        <w:t>9</w:t>
      </w:r>
      <w:r w:rsidR="00654C79" w:rsidRPr="00381329">
        <w:tab/>
        <w:t>Discrepancy and Dispute Management</w:t>
      </w:r>
      <w:r w:rsidR="009F47BE" w:rsidRPr="00381329">
        <w:fldChar w:fldCharType="end"/>
      </w:r>
      <w:r w:rsidR="009F47BE" w:rsidRPr="00381329">
        <w:t>).</w:t>
      </w:r>
    </w:p>
    <w:p w14:paraId="2FE032F8" w14:textId="3622D17E" w:rsidR="00DB455D" w:rsidRPr="00381329" w:rsidRDefault="00045847" w:rsidP="00045847">
      <w:r w:rsidRPr="00381329">
        <w:t xml:space="preserve">In the event there are multiple sources of data as described in </w:t>
      </w:r>
      <w:r w:rsidR="00381329" w:rsidRPr="00381329">
        <w:t>clause</w:t>
      </w:r>
      <w:r w:rsidRPr="00381329">
        <w:t xml:space="preserve"> </w:t>
      </w:r>
      <w:r w:rsidR="009C467D" w:rsidRPr="00381329">
        <w:fldChar w:fldCharType="begin"/>
      </w:r>
      <w:r w:rsidR="009C467D" w:rsidRPr="00381329">
        <w:instrText xml:space="preserve"> REF _Ref160446140 \h </w:instrText>
      </w:r>
      <w:r w:rsidR="009C467D" w:rsidRPr="00381329">
        <w:fldChar w:fldCharType="separate"/>
      </w:r>
      <w:r w:rsidR="00654C79" w:rsidRPr="00381329">
        <w:t>4.2.2</w:t>
      </w:r>
      <w:r w:rsidR="00654C79" w:rsidRPr="00381329">
        <w:tab/>
      </w:r>
      <w:proofErr w:type="gramStart"/>
      <w:r w:rsidR="00654C79" w:rsidRPr="00381329">
        <w:t>Multi-Sourced</w:t>
      </w:r>
      <w:proofErr w:type="gramEnd"/>
      <w:r w:rsidR="00654C79" w:rsidRPr="00381329">
        <w:t xml:space="preserve"> data</w:t>
      </w:r>
      <w:r w:rsidR="009C467D" w:rsidRPr="00381329">
        <w:fldChar w:fldCharType="end"/>
      </w:r>
      <w:r w:rsidRPr="00381329">
        <w:t xml:space="preserve">, several scenarios may be considered and are summarized in </w:t>
      </w:r>
      <w:r w:rsidR="00BD593F">
        <w:t xml:space="preserve">Table </w:t>
      </w:r>
      <w:r w:rsidR="00BD593F" w:rsidRPr="00BD593F">
        <w:t>2</w:t>
      </w:r>
      <w:r w:rsidR="009C467D" w:rsidRPr="00BD593F">
        <w:t xml:space="preserve"> bel</w:t>
      </w:r>
      <w:r w:rsidR="009C467D" w:rsidRPr="00381329">
        <w:t>ow:</w:t>
      </w:r>
    </w:p>
    <w:p w14:paraId="57E5E935" w14:textId="7157D881" w:rsidR="00DB455D" w:rsidRPr="00381329" w:rsidRDefault="009C467D" w:rsidP="00A42E54">
      <w:pPr>
        <w:pStyle w:val="TH"/>
      </w:pPr>
      <w:r w:rsidRPr="00381329">
        <w:t xml:space="preserve">Table </w:t>
      </w:r>
      <w:r w:rsidR="00403A45">
        <w:fldChar w:fldCharType="begin"/>
      </w:r>
      <w:r w:rsidR="00403A45">
        <w:instrText xml:space="preserve"> SEQ Table \* ARABIC </w:instrText>
      </w:r>
      <w:r w:rsidR="00403A45">
        <w:fldChar w:fldCharType="separate"/>
      </w:r>
      <w:r w:rsidR="00654C79" w:rsidRPr="00381329">
        <w:t>2</w:t>
      </w:r>
      <w:r w:rsidR="00403A45">
        <w:fldChar w:fldCharType="end"/>
      </w:r>
      <w:r w:rsidR="00A42E54" w:rsidRPr="00381329">
        <w:t>:</w:t>
      </w:r>
      <w:r w:rsidRPr="00381329">
        <w:t xml:space="preserve"> Reconciliation with Multi-Sourced data</w:t>
      </w:r>
    </w:p>
    <w:tbl>
      <w:tblPr>
        <w:tblStyle w:val="TableGrid"/>
        <w:tblW w:w="0" w:type="auto"/>
        <w:jc w:val="center"/>
        <w:tblLayout w:type="fixed"/>
        <w:tblCellMar>
          <w:left w:w="28" w:type="dxa"/>
        </w:tblCellMar>
        <w:tblLook w:val="04A0" w:firstRow="1" w:lastRow="0" w:firstColumn="1" w:lastColumn="0" w:noHBand="0" w:noVBand="1"/>
      </w:tblPr>
      <w:tblGrid>
        <w:gridCol w:w="1938"/>
        <w:gridCol w:w="3210"/>
        <w:gridCol w:w="3210"/>
      </w:tblGrid>
      <w:tr w:rsidR="00DB455D" w:rsidRPr="00381329" w14:paraId="608589F4" w14:textId="77777777" w:rsidTr="00A42E54">
        <w:trPr>
          <w:jc w:val="center"/>
        </w:trPr>
        <w:tc>
          <w:tcPr>
            <w:tcW w:w="1938" w:type="dxa"/>
          </w:tcPr>
          <w:p w14:paraId="5F17614E" w14:textId="77777777" w:rsidR="00DB455D" w:rsidRPr="00381329" w:rsidRDefault="00DB455D" w:rsidP="00A42E54">
            <w:pPr>
              <w:pStyle w:val="TAH"/>
            </w:pPr>
          </w:p>
        </w:tc>
        <w:tc>
          <w:tcPr>
            <w:tcW w:w="3210" w:type="dxa"/>
          </w:tcPr>
          <w:p w14:paraId="1EFCC5FA" w14:textId="366E1165" w:rsidR="00DB455D" w:rsidRPr="00381329" w:rsidRDefault="00DB455D" w:rsidP="00A42E54">
            <w:pPr>
              <w:pStyle w:val="TAH"/>
            </w:pPr>
            <w:r w:rsidRPr="00381329">
              <w:t>All</w:t>
            </w:r>
            <w:r w:rsidR="00A42E54" w:rsidRPr="00381329">
              <w:t xml:space="preserve"> </w:t>
            </w:r>
            <w:r w:rsidRPr="00381329">
              <w:t>measurements</w:t>
            </w:r>
            <w:r w:rsidR="00A42E54" w:rsidRPr="00381329">
              <w:t xml:space="preserve"> </w:t>
            </w:r>
            <w:r w:rsidRPr="00381329">
              <w:t>are</w:t>
            </w:r>
            <w:r w:rsidR="00A42E54" w:rsidRPr="00381329">
              <w:t xml:space="preserve"> </w:t>
            </w:r>
            <w:r w:rsidRPr="00381329">
              <w:t>identical</w:t>
            </w:r>
          </w:p>
        </w:tc>
        <w:tc>
          <w:tcPr>
            <w:tcW w:w="3210" w:type="dxa"/>
          </w:tcPr>
          <w:p w14:paraId="6243DD16" w14:textId="03E9ADA4" w:rsidR="00DB455D" w:rsidRPr="00381329" w:rsidRDefault="00DB455D" w:rsidP="00A42E54">
            <w:pPr>
              <w:pStyle w:val="TAH"/>
            </w:pPr>
            <w:r w:rsidRPr="00381329">
              <w:t>Different</w:t>
            </w:r>
            <w:r w:rsidR="00A42E54" w:rsidRPr="00381329">
              <w:t xml:space="preserve"> </w:t>
            </w:r>
            <w:r w:rsidRPr="00381329">
              <w:t>measurements</w:t>
            </w:r>
            <w:r w:rsidR="00A42E54" w:rsidRPr="00381329">
              <w:t xml:space="preserve"> </w:t>
            </w:r>
            <w:r w:rsidRPr="00381329">
              <w:t>by</w:t>
            </w:r>
            <w:r w:rsidR="00A42E54" w:rsidRPr="00381329">
              <w:t xml:space="preserve"> </w:t>
            </w:r>
            <w:r w:rsidRPr="00381329">
              <w:t>different</w:t>
            </w:r>
            <w:r w:rsidR="00A42E54" w:rsidRPr="00381329">
              <w:t xml:space="preserve"> </w:t>
            </w:r>
            <w:r w:rsidRPr="00381329">
              <w:t>sources</w:t>
            </w:r>
          </w:p>
        </w:tc>
      </w:tr>
      <w:tr w:rsidR="00DB455D" w:rsidRPr="00381329" w14:paraId="396EE91D" w14:textId="77777777" w:rsidTr="00A42E54">
        <w:trPr>
          <w:jc w:val="center"/>
        </w:trPr>
        <w:tc>
          <w:tcPr>
            <w:tcW w:w="1938" w:type="dxa"/>
          </w:tcPr>
          <w:p w14:paraId="7E0A443B" w14:textId="36A1A0AA" w:rsidR="00DB455D" w:rsidRPr="00381329" w:rsidRDefault="00DB455D" w:rsidP="00A42E54">
            <w:pPr>
              <w:pStyle w:val="TAL"/>
              <w:rPr>
                <w:b/>
                <w:bCs/>
              </w:rPr>
            </w:pPr>
            <w:r w:rsidRPr="00381329">
              <w:rPr>
                <w:b/>
                <w:bCs/>
              </w:rPr>
              <w:t>No</w:t>
            </w:r>
            <w:r w:rsidR="00A42E54" w:rsidRPr="00381329">
              <w:rPr>
                <w:b/>
                <w:bCs/>
              </w:rPr>
              <w:t xml:space="preserve"> </w:t>
            </w:r>
            <w:r w:rsidRPr="00381329">
              <w:rPr>
                <w:b/>
                <w:bCs/>
              </w:rPr>
              <w:t>dispute</w:t>
            </w:r>
            <w:r w:rsidR="00A42E54" w:rsidRPr="00381329">
              <w:rPr>
                <w:b/>
                <w:bCs/>
              </w:rPr>
              <w:t xml:space="preserve"> </w:t>
            </w:r>
            <w:r w:rsidRPr="00381329">
              <w:rPr>
                <w:b/>
                <w:bCs/>
              </w:rPr>
              <w:t>on</w:t>
            </w:r>
            <w:r w:rsidR="00A42E54" w:rsidRPr="00381329">
              <w:rPr>
                <w:b/>
                <w:bCs/>
              </w:rPr>
              <w:t xml:space="preserve"> </w:t>
            </w:r>
            <w:r w:rsidRPr="00381329">
              <w:rPr>
                <w:b/>
                <w:bCs/>
              </w:rPr>
              <w:t>rating</w:t>
            </w:r>
          </w:p>
        </w:tc>
        <w:tc>
          <w:tcPr>
            <w:tcW w:w="3210" w:type="dxa"/>
          </w:tcPr>
          <w:p w14:paraId="6AE88F88" w14:textId="71DDB088" w:rsidR="00DB455D" w:rsidRPr="00381329" w:rsidRDefault="00DB455D" w:rsidP="00A42E54">
            <w:pPr>
              <w:pStyle w:val="TAL"/>
            </w:pPr>
            <w:r w:rsidRPr="00381329">
              <w:t>Automatic</w:t>
            </w:r>
            <w:r w:rsidR="00A42E54" w:rsidRPr="00381329">
              <w:t xml:space="preserve"> </w:t>
            </w:r>
            <w:r w:rsidRPr="00381329">
              <w:t>reconciliation</w:t>
            </w:r>
            <w:r w:rsidR="00A42E54" w:rsidRPr="00381329">
              <w:t xml:space="preserve"> </w:t>
            </w:r>
            <w:r w:rsidRPr="00381329">
              <w:t>and</w:t>
            </w:r>
            <w:r w:rsidR="00A42E54" w:rsidRPr="00381329">
              <w:t xml:space="preserve"> </w:t>
            </w:r>
            <w:r w:rsidRPr="00381329">
              <w:t>rating</w:t>
            </w:r>
          </w:p>
        </w:tc>
        <w:tc>
          <w:tcPr>
            <w:tcW w:w="3210" w:type="dxa"/>
          </w:tcPr>
          <w:p w14:paraId="76D7373C" w14:textId="3431ECE0" w:rsidR="00DB455D" w:rsidRPr="00381329" w:rsidRDefault="00DB455D" w:rsidP="00A42E54">
            <w:pPr>
              <w:pStyle w:val="TAL"/>
            </w:pPr>
            <w:r w:rsidRPr="00381329">
              <w:t>Reconcile</w:t>
            </w:r>
            <w:r w:rsidR="00A42E54" w:rsidRPr="00381329">
              <w:t xml:space="preserve"> </w:t>
            </w:r>
            <w:r w:rsidRPr="00381329">
              <w:t>measurements</w:t>
            </w:r>
            <w:r w:rsidR="00A42E54" w:rsidRPr="00381329">
              <w:t xml:space="preserve"> </w:t>
            </w:r>
          </w:p>
        </w:tc>
      </w:tr>
      <w:tr w:rsidR="00DB455D" w:rsidRPr="00381329" w14:paraId="50368DAC" w14:textId="77777777" w:rsidTr="00A42E54">
        <w:trPr>
          <w:jc w:val="center"/>
        </w:trPr>
        <w:tc>
          <w:tcPr>
            <w:tcW w:w="1938" w:type="dxa"/>
          </w:tcPr>
          <w:p w14:paraId="6EF1E229" w14:textId="47623040" w:rsidR="00DB455D" w:rsidRPr="00381329" w:rsidRDefault="00DB455D" w:rsidP="00A42E54">
            <w:pPr>
              <w:pStyle w:val="TAL"/>
              <w:rPr>
                <w:b/>
                <w:bCs/>
              </w:rPr>
            </w:pPr>
            <w:r w:rsidRPr="00381329">
              <w:rPr>
                <w:b/>
                <w:bCs/>
              </w:rPr>
              <w:t>Rating</w:t>
            </w:r>
            <w:r w:rsidR="00A42E54" w:rsidRPr="00381329">
              <w:rPr>
                <w:b/>
                <w:bCs/>
              </w:rPr>
              <w:t xml:space="preserve"> </w:t>
            </w:r>
            <w:r w:rsidRPr="00381329">
              <w:rPr>
                <w:b/>
                <w:bCs/>
              </w:rPr>
              <w:t>disputed</w:t>
            </w:r>
          </w:p>
        </w:tc>
        <w:tc>
          <w:tcPr>
            <w:tcW w:w="3210" w:type="dxa"/>
          </w:tcPr>
          <w:p w14:paraId="507E3CEC" w14:textId="201D85AF" w:rsidR="00DB455D" w:rsidRPr="00381329" w:rsidRDefault="00DB455D" w:rsidP="00A42E54">
            <w:pPr>
              <w:pStyle w:val="TAL"/>
            </w:pPr>
            <w:r w:rsidRPr="00381329">
              <w:t>Reconcile</w:t>
            </w:r>
            <w:r w:rsidR="00A42E54" w:rsidRPr="00381329">
              <w:t xml:space="preserve"> </w:t>
            </w:r>
            <w:r w:rsidRPr="00381329">
              <w:t>rating</w:t>
            </w:r>
          </w:p>
        </w:tc>
        <w:tc>
          <w:tcPr>
            <w:tcW w:w="3210" w:type="dxa"/>
          </w:tcPr>
          <w:p w14:paraId="15F41782" w14:textId="2206D2AB" w:rsidR="00DB455D" w:rsidRPr="00381329" w:rsidRDefault="00DB455D" w:rsidP="00A42E54">
            <w:pPr>
              <w:pStyle w:val="TAL"/>
            </w:pPr>
            <w:r w:rsidRPr="00381329">
              <w:t>Reconcile</w:t>
            </w:r>
            <w:r w:rsidR="00A42E54" w:rsidRPr="00381329">
              <w:t xml:space="preserve"> </w:t>
            </w:r>
            <w:r w:rsidRPr="00381329">
              <w:t>measurements</w:t>
            </w:r>
            <w:r w:rsidRPr="00381329">
              <w:br/>
              <w:t>Reconcile</w:t>
            </w:r>
            <w:r w:rsidR="00A42E54" w:rsidRPr="00381329">
              <w:t xml:space="preserve"> </w:t>
            </w:r>
            <w:r w:rsidRPr="00381329">
              <w:t>rating</w:t>
            </w:r>
          </w:p>
        </w:tc>
      </w:tr>
    </w:tbl>
    <w:p w14:paraId="1FC1262C" w14:textId="7ADA9DAF" w:rsidR="00045847" w:rsidRPr="00381329" w:rsidRDefault="00045847" w:rsidP="00045847"/>
    <w:p w14:paraId="17887093" w14:textId="32FCB6CE" w:rsidR="00EA7B3F" w:rsidRPr="00381329" w:rsidRDefault="00EA7B3F" w:rsidP="00EA7B3F">
      <w:pPr>
        <w:pStyle w:val="Heading2"/>
      </w:pPr>
      <w:bookmarkStart w:id="122" w:name="_Toc160787010"/>
      <w:bookmarkStart w:id="123" w:name="_Toc161049378"/>
      <w:r w:rsidRPr="00381329">
        <w:t>7.2</w:t>
      </w:r>
      <w:r w:rsidRPr="00381329">
        <w:tab/>
        <w:t>Reconciliation prior to invoicing</w:t>
      </w:r>
      <w:bookmarkEnd w:id="122"/>
      <w:bookmarkEnd w:id="123"/>
    </w:p>
    <w:p w14:paraId="2D180C9E" w14:textId="460E7ABE" w:rsidR="0097067F" w:rsidRPr="00381329" w:rsidRDefault="00EA7B3F" w:rsidP="0097067F">
      <w:r w:rsidRPr="00381329">
        <w:t xml:space="preserve">Supply chain partners may prefer to reconcile their records prior to issuance of an invoice. The </w:t>
      </w:r>
      <w:r w:rsidR="002C6310" w:rsidRPr="00381329">
        <w:t>benefit</w:t>
      </w:r>
      <w:r w:rsidRPr="00381329">
        <w:t xml:space="preserve"> of such approach is it reduces the overheads of issuing credit notes </w:t>
      </w:r>
      <w:r w:rsidR="009C467D" w:rsidRPr="00381329">
        <w:t>if</w:t>
      </w:r>
      <w:r w:rsidRPr="00381329">
        <w:t xml:space="preserve"> discrepancies are found</w:t>
      </w:r>
      <w:r w:rsidR="0052305A" w:rsidRPr="00381329">
        <w:t xml:space="preserve"> between the </w:t>
      </w:r>
      <w:r w:rsidR="00BE6B61" w:rsidRPr="00381329">
        <w:t xml:space="preserve">rated </w:t>
      </w:r>
      <w:r w:rsidR="0052305A" w:rsidRPr="00381329">
        <w:t>records of those parties.</w:t>
      </w:r>
      <w:r w:rsidR="002C6310" w:rsidRPr="00381329">
        <w:t xml:space="preserve"> However</w:t>
      </w:r>
      <w:r w:rsidR="00A42E54" w:rsidRPr="00381329">
        <w:t>,</w:t>
      </w:r>
      <w:r w:rsidR="002C6310" w:rsidRPr="00381329">
        <w:t xml:space="preserve"> this option requires the Buyer and Seller to coordinate their respective business processes, align their data models, and spend the efforts to </w:t>
      </w:r>
      <w:r w:rsidR="0025445C" w:rsidRPr="00381329">
        <w:t>compare the records/data rather than the invoices.</w:t>
      </w:r>
      <w:r w:rsidR="00BE6B61" w:rsidRPr="00381329">
        <w:t xml:space="preserve"> Such coordination is often performed using a neutral platform that offers the ability to:</w:t>
      </w:r>
    </w:p>
    <w:p w14:paraId="6CC5A76E" w14:textId="4CB49265" w:rsidR="0097067F" w:rsidRPr="00381329" w:rsidRDefault="00BE6B61" w:rsidP="00A42E54">
      <w:pPr>
        <w:pStyle w:val="BL"/>
        <w:numPr>
          <w:ilvl w:val="0"/>
          <w:numId w:val="24"/>
        </w:numPr>
      </w:pPr>
      <w:r w:rsidRPr="00381329">
        <w:t xml:space="preserve">Each party </w:t>
      </w:r>
      <w:r w:rsidR="0097067F" w:rsidRPr="00381329">
        <w:t>to</w:t>
      </w:r>
      <w:r w:rsidRPr="00381329">
        <w:t xml:space="preserve"> upload its re</w:t>
      </w:r>
      <w:r w:rsidR="0097067F" w:rsidRPr="00381329">
        <w:t>spective data/records.</w:t>
      </w:r>
    </w:p>
    <w:p w14:paraId="0B576700" w14:textId="7257B031" w:rsidR="0097067F" w:rsidRPr="00381329" w:rsidRDefault="0097067F" w:rsidP="00A42E54">
      <w:pPr>
        <w:pStyle w:val="BL"/>
        <w:numPr>
          <w:ilvl w:val="0"/>
          <w:numId w:val="24"/>
        </w:numPr>
      </w:pPr>
      <w:r w:rsidRPr="00381329">
        <w:t>An algorithm that identifies matching records coming from different sources.</w:t>
      </w:r>
    </w:p>
    <w:p w14:paraId="2DEAD8F8" w14:textId="65885875" w:rsidR="0097067F" w:rsidRPr="00381329" w:rsidRDefault="0097067F" w:rsidP="00A42E54">
      <w:pPr>
        <w:pStyle w:val="BL"/>
        <w:numPr>
          <w:ilvl w:val="0"/>
          <w:numId w:val="24"/>
        </w:numPr>
      </w:pPr>
      <w:r w:rsidRPr="00381329">
        <w:t xml:space="preserve">A </w:t>
      </w:r>
      <w:r w:rsidRPr="001D748C">
        <w:t>GUI</w:t>
      </w:r>
      <w:r>
        <w:t xml:space="preserve"> presenting the data in a manner that allows comparison of records, identification of discrepancies and reconciliation.</w:t>
      </w:r>
    </w:p>
    <w:p w14:paraId="716D9715" w14:textId="7AF6AB61" w:rsidR="0097067F" w:rsidRPr="00381329" w:rsidRDefault="0097067F" w:rsidP="00A42E54">
      <w:pPr>
        <w:pStyle w:val="BL"/>
        <w:numPr>
          <w:ilvl w:val="0"/>
          <w:numId w:val="24"/>
        </w:numPr>
      </w:pPr>
      <w:r w:rsidRPr="00381329">
        <w:t>Generation of billing statements that include reconciled records that are ready for invoicing.</w:t>
      </w:r>
    </w:p>
    <w:p w14:paraId="7DA31D87" w14:textId="34E09A3B" w:rsidR="0097067F" w:rsidRPr="00381329" w:rsidRDefault="0097067F" w:rsidP="00A42E54">
      <w:pPr>
        <w:pStyle w:val="BL"/>
        <w:numPr>
          <w:ilvl w:val="0"/>
          <w:numId w:val="24"/>
        </w:numPr>
      </w:pPr>
      <w:r w:rsidRPr="00381329">
        <w:t>Each party may download such billing statements and use them to generate undisputed invoices (Seller) and verify and approve such invoices (the Buyer).</w:t>
      </w:r>
    </w:p>
    <w:p w14:paraId="21D96608" w14:textId="6BA3B5B6" w:rsidR="0097067F" w:rsidRPr="00381329" w:rsidRDefault="00A42E54" w:rsidP="00A42E54">
      <w:pPr>
        <w:pStyle w:val="EX"/>
        <w:rPr>
          <w:rtl/>
        </w:rPr>
      </w:pPr>
      <w:r w:rsidRPr="00381329">
        <w:rPr>
          <w:b/>
          <w:bCs/>
        </w:rPr>
        <w:t>[</w:t>
      </w:r>
      <w:r w:rsidRPr="001D748C">
        <w:rPr>
          <w:b/>
          <w:bCs/>
        </w:rPr>
        <w:t>D5</w:t>
      </w:r>
      <w:r>
        <w:rPr>
          <w:b/>
          <w:bCs/>
        </w:rPr>
        <w:t>]</w:t>
      </w:r>
      <w:r w:rsidRPr="00381329">
        <w:rPr>
          <w:b/>
          <w:bCs/>
        </w:rPr>
        <w:tab/>
      </w:r>
      <w:r w:rsidR="0097067F" w:rsidRPr="001D748C">
        <w:t>PDL</w:t>
      </w:r>
      <w:r>
        <w:t xml:space="preserve"> </w:t>
      </w:r>
      <w:r w:rsidR="0097067F" w:rsidRPr="001D748C">
        <w:rPr>
          <w:b/>
          <w:bCs/>
        </w:rPr>
        <w:t>SHOULD</w:t>
      </w:r>
      <w:r w:rsidR="0097067F" w:rsidRPr="00381329">
        <w:t xml:space="preserve"> be used by such platform as it offers the disintermediation and neutrality requirements of such platform. </w:t>
      </w:r>
    </w:p>
    <w:p w14:paraId="21AEAF7B" w14:textId="58BEEDB1" w:rsidR="00EA7B3F" w:rsidRPr="00381329" w:rsidRDefault="00EA7B3F" w:rsidP="00EA7B3F">
      <w:pPr>
        <w:pStyle w:val="Heading2"/>
      </w:pPr>
      <w:bookmarkStart w:id="124" w:name="_Toc160787011"/>
      <w:bookmarkStart w:id="125" w:name="_Toc161049379"/>
      <w:r w:rsidRPr="00381329">
        <w:lastRenderedPageBreak/>
        <w:t>7.3</w:t>
      </w:r>
      <w:r w:rsidRPr="00381329">
        <w:tab/>
        <w:t>Reconciliation after invoicing</w:t>
      </w:r>
      <w:bookmarkEnd w:id="124"/>
      <w:bookmarkEnd w:id="125"/>
    </w:p>
    <w:p w14:paraId="0A859CAF" w14:textId="520157A5" w:rsidR="0050748B" w:rsidRPr="00381329" w:rsidRDefault="0050748B" w:rsidP="00E30E7A">
      <w:r w:rsidRPr="00381329">
        <w:t xml:space="preserve">Albeit the operational benefits of reconciliation prior to invoicing, </w:t>
      </w:r>
      <w:r w:rsidR="009C467D" w:rsidRPr="00381329">
        <w:t>many</w:t>
      </w:r>
      <w:r w:rsidRPr="00381329">
        <w:t xml:space="preserve"> </w:t>
      </w:r>
      <w:proofErr w:type="gramStart"/>
      <w:r w:rsidRPr="00381329">
        <w:t>Buyers</w:t>
      </w:r>
      <w:proofErr w:type="gramEnd"/>
      <w:r w:rsidRPr="00381329">
        <w:t xml:space="preserve"> and Sellers, likely the majority of both, are still using the more traditional way of reconciliation: </w:t>
      </w:r>
    </w:p>
    <w:p w14:paraId="23DB666B" w14:textId="3456F872" w:rsidR="0050748B" w:rsidRPr="00381329" w:rsidRDefault="0050748B" w:rsidP="00A42E54">
      <w:pPr>
        <w:pStyle w:val="BL"/>
        <w:numPr>
          <w:ilvl w:val="0"/>
          <w:numId w:val="25"/>
        </w:numPr>
      </w:pPr>
      <w:r w:rsidRPr="00381329">
        <w:t xml:space="preserve">The Seller issues an invoice based on their measurements, ratings, </w:t>
      </w:r>
      <w:r w:rsidRPr="001D748C">
        <w:t>SLA</w:t>
      </w:r>
      <w:r>
        <w:t xml:space="preserve"> monitoring,</w:t>
      </w:r>
      <w:r w:rsidRPr="00381329">
        <w:t xml:space="preserve"> and sends it to the Buyer.</w:t>
      </w:r>
    </w:p>
    <w:p w14:paraId="50BDACFF" w14:textId="2E433D07" w:rsidR="0050748B" w:rsidRPr="00381329" w:rsidRDefault="0050748B" w:rsidP="00A42E54">
      <w:pPr>
        <w:pStyle w:val="BL"/>
      </w:pPr>
      <w:r w:rsidRPr="00381329">
        <w:t xml:space="preserve">The Buyer calculates their expected due amount based on their own usage records, </w:t>
      </w:r>
      <w:r w:rsidRPr="001D748C">
        <w:t>SLA</w:t>
      </w:r>
      <w:r>
        <w:t xml:space="preserve"> monitoring</w:t>
      </w:r>
      <w:r w:rsidRPr="00381329">
        <w:t xml:space="preserve"> and rating.</w:t>
      </w:r>
    </w:p>
    <w:p w14:paraId="1A4ACA2A" w14:textId="59139690" w:rsidR="0050748B" w:rsidRPr="00381329" w:rsidRDefault="0050748B" w:rsidP="00A42E54">
      <w:pPr>
        <w:pStyle w:val="BL"/>
      </w:pPr>
      <w:r w:rsidRPr="00381329">
        <w:t xml:space="preserve">The Buyer verifies the invoice and compares it with their expected due amount calculated in step </w:t>
      </w:r>
      <w:r w:rsidR="00A42E54" w:rsidRPr="00381329">
        <w:t>"</w:t>
      </w:r>
      <w:r w:rsidRPr="00381329">
        <w:t>b</w:t>
      </w:r>
      <w:r w:rsidR="00A42E54" w:rsidRPr="00381329">
        <w:t>"</w:t>
      </w:r>
      <w:r w:rsidRPr="00381329">
        <w:t xml:space="preserve"> above.</w:t>
      </w:r>
    </w:p>
    <w:p w14:paraId="67B7671A" w14:textId="318F9834" w:rsidR="0050748B" w:rsidRPr="00381329" w:rsidRDefault="0050748B" w:rsidP="00A42E54">
      <w:pPr>
        <w:pStyle w:val="BL"/>
      </w:pPr>
      <w:r w:rsidRPr="00381329">
        <w:t xml:space="preserve">If a discrepancy is found the Buyer opens a dispute with the Seller and both parties engage in a </w:t>
      </w:r>
      <w:r w:rsidR="009C467D" w:rsidRPr="00381329">
        <w:t xml:space="preserve">manual </w:t>
      </w:r>
      <w:r w:rsidRPr="00381329">
        <w:t xml:space="preserve">reconciliation process until </w:t>
      </w:r>
      <w:r w:rsidR="00E30E7A" w:rsidRPr="00381329">
        <w:t>they reach an agreement on the final due amount. Such process may stretch over weeks and months during which payment is held.</w:t>
      </w:r>
    </w:p>
    <w:p w14:paraId="641F4F9C" w14:textId="66FA2AED" w:rsidR="00E30E7A" w:rsidRPr="00381329" w:rsidRDefault="00E30E7A" w:rsidP="00A42E54">
      <w:pPr>
        <w:pStyle w:val="BL"/>
      </w:pPr>
      <w:r w:rsidRPr="00381329">
        <w:t xml:space="preserve">If required </w:t>
      </w:r>
      <w:r w:rsidR="000B749F" w:rsidRPr="00381329">
        <w:t>-</w:t>
      </w:r>
      <w:r w:rsidRPr="00381329">
        <w:t xml:space="preserve"> the Seller sends a credit or debit note to the Buyer to balance the difference from the original invoice.</w:t>
      </w:r>
    </w:p>
    <w:p w14:paraId="7F7C0AE3" w14:textId="79F28ED9" w:rsidR="00E30E7A" w:rsidRPr="00381329" w:rsidRDefault="00E30E7A" w:rsidP="00A42E54">
      <w:pPr>
        <w:pStyle w:val="BL"/>
      </w:pPr>
      <w:r w:rsidRPr="00381329">
        <w:t>The Buyer pays the invoice minus any amount in a credit note or plus any amount in a debit note.</w:t>
      </w:r>
    </w:p>
    <w:p w14:paraId="2856EC0F" w14:textId="3E250CA6" w:rsidR="00EA7B3F" w:rsidRPr="00381329" w:rsidRDefault="00BD593F" w:rsidP="00E30E7A">
      <w:r>
        <w:rPr>
          <w:rFonts w:asciiTheme="majorBidi" w:hAnsiTheme="majorBidi"/>
        </w:rPr>
        <w:t>Figure 2</w:t>
      </w:r>
      <w:r w:rsidR="00EA7B3F" w:rsidRPr="00381329">
        <w:rPr>
          <w:rFonts w:asciiTheme="majorBidi" w:hAnsiTheme="majorBidi"/>
        </w:rPr>
        <w:t xml:space="preserve"> describes how a </w:t>
      </w:r>
      <w:r w:rsidR="00E30E7A" w:rsidRPr="00381329">
        <w:rPr>
          <w:rFonts w:asciiTheme="majorBidi" w:hAnsiTheme="majorBidi"/>
        </w:rPr>
        <w:t>Buyer</w:t>
      </w:r>
      <w:r w:rsidR="00EA7B3F" w:rsidRPr="00381329">
        <w:rPr>
          <w:rFonts w:asciiTheme="majorBidi" w:hAnsiTheme="majorBidi"/>
        </w:rPr>
        <w:t xml:space="preserve"> can estimate the amount it will be charged by </w:t>
      </w:r>
      <w:r w:rsidR="00E30E7A" w:rsidRPr="00381329">
        <w:rPr>
          <w:rFonts w:asciiTheme="majorBidi" w:hAnsiTheme="majorBidi"/>
        </w:rPr>
        <w:t>the</w:t>
      </w:r>
      <w:r w:rsidR="00EA7B3F" w:rsidRPr="00381329">
        <w:rPr>
          <w:rFonts w:asciiTheme="majorBidi" w:hAnsiTheme="majorBidi"/>
        </w:rPr>
        <w:t xml:space="preserve"> Seller through applying the business</w:t>
      </w:r>
      <w:r w:rsidR="00EA7B3F" w:rsidRPr="00381329">
        <w:t xml:space="preserve"> logic stipulated in the agreement with </w:t>
      </w:r>
      <w:r w:rsidR="00E30E7A" w:rsidRPr="00381329">
        <w:t>the</w:t>
      </w:r>
      <w:r w:rsidR="00EA7B3F" w:rsidRPr="00381329">
        <w:t xml:space="preserve"> Seller on the utilization records and </w:t>
      </w:r>
      <w:r w:rsidR="000975E7" w:rsidRPr="001D748C">
        <w:t>SLA</w:t>
      </w:r>
      <w:r w:rsidR="000975E7">
        <w:t xml:space="preserve"> records it has stored in </w:t>
      </w:r>
      <w:r w:rsidR="009C467D" w:rsidRPr="00381329">
        <w:t xml:space="preserve">its own </w:t>
      </w:r>
      <w:r w:rsidR="000975E7" w:rsidRPr="00381329">
        <w:t xml:space="preserve">data repositories. The amount may differ from the amount </w:t>
      </w:r>
      <w:proofErr w:type="gramStart"/>
      <w:r w:rsidR="000975E7" w:rsidRPr="00381329">
        <w:t>actually invoiced</w:t>
      </w:r>
      <w:proofErr w:type="gramEnd"/>
      <w:r w:rsidR="000975E7" w:rsidRPr="00381329">
        <w:t xml:space="preserve"> by the Seller, which may trigger a dispute resolution process.</w:t>
      </w:r>
    </w:p>
    <w:p w14:paraId="29AAB944" w14:textId="77777777" w:rsidR="00EA7B3F" w:rsidRPr="00381329" w:rsidRDefault="00EA7B3F" w:rsidP="00A42E54">
      <w:pPr>
        <w:pStyle w:val="FL"/>
      </w:pPr>
      <w:r w:rsidRPr="00381329">
        <w:rPr>
          <w:noProof/>
        </w:rPr>
        <w:drawing>
          <wp:inline distT="0" distB="0" distL="0" distR="0" wp14:anchorId="6FE2921B" wp14:editId="620C0380">
            <wp:extent cx="3615070" cy="3061609"/>
            <wp:effectExtent l="0" t="0" r="4445" b="0"/>
            <wp:docPr id="230040809" name="Picture 230040809"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stimated Invoice 20200318s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26986" cy="3071701"/>
                    </a:xfrm>
                    <a:prstGeom prst="rect">
                      <a:avLst/>
                    </a:prstGeom>
                  </pic:spPr>
                </pic:pic>
              </a:graphicData>
            </a:graphic>
          </wp:inline>
        </w:drawing>
      </w:r>
    </w:p>
    <w:p w14:paraId="0ED2151D" w14:textId="15116816" w:rsidR="00EA7B3F" w:rsidRPr="00381329" w:rsidRDefault="00EA7B3F" w:rsidP="00A42E54">
      <w:pPr>
        <w:pStyle w:val="TF"/>
      </w:pPr>
      <w:bookmarkStart w:id="126" w:name="_Ref160446728"/>
      <w:r w:rsidRPr="00381329">
        <w:t xml:space="preserve">Figure </w:t>
      </w:r>
      <w:r w:rsidR="00403A45">
        <w:fldChar w:fldCharType="begin"/>
      </w:r>
      <w:r w:rsidR="00403A45">
        <w:instrText xml:space="preserve"> SEQ Figure \* ARABIC </w:instrText>
      </w:r>
      <w:r w:rsidR="00403A45">
        <w:fldChar w:fldCharType="separate"/>
      </w:r>
      <w:r w:rsidR="00654C79" w:rsidRPr="00381329">
        <w:t>2</w:t>
      </w:r>
      <w:r w:rsidR="00403A45">
        <w:fldChar w:fldCharType="end"/>
      </w:r>
      <w:r w:rsidR="00A42E54" w:rsidRPr="00381329">
        <w:t>:</w:t>
      </w:r>
      <w:r w:rsidRPr="00381329">
        <w:t xml:space="preserve"> Estimating </w:t>
      </w:r>
      <w:proofErr w:type="gramStart"/>
      <w:r w:rsidRPr="00381329">
        <w:t>charges</w:t>
      </w:r>
      <w:bookmarkEnd w:id="126"/>
      <w:proofErr w:type="gramEnd"/>
    </w:p>
    <w:p w14:paraId="1E65DED0" w14:textId="411E4CCE" w:rsidR="00CF79AE" w:rsidRPr="00381329" w:rsidRDefault="00EA7B3F" w:rsidP="00A83F00">
      <w:pPr>
        <w:pStyle w:val="Heading1"/>
      </w:pPr>
      <w:bookmarkStart w:id="127" w:name="_Ref158622526"/>
      <w:bookmarkStart w:id="128" w:name="_Toc160787012"/>
      <w:bookmarkStart w:id="129" w:name="_Toc161049380"/>
      <w:r w:rsidRPr="00381329">
        <w:t>8</w:t>
      </w:r>
      <w:r w:rsidR="00A83F00" w:rsidRPr="00381329">
        <w:tab/>
      </w:r>
      <w:r w:rsidR="00CF79AE" w:rsidRPr="00381329">
        <w:t>Invoicing</w:t>
      </w:r>
      <w:bookmarkEnd w:id="127"/>
      <w:bookmarkEnd w:id="128"/>
      <w:bookmarkEnd w:id="129"/>
    </w:p>
    <w:p w14:paraId="1001C629" w14:textId="77FF3BA3" w:rsidR="00A83F00" w:rsidRPr="00381329" w:rsidRDefault="00B72A5D" w:rsidP="00A83F00">
      <w:pPr>
        <w:pStyle w:val="Heading2"/>
      </w:pPr>
      <w:bookmarkStart w:id="130" w:name="_Toc160787013"/>
      <w:bookmarkStart w:id="131" w:name="_Toc161049381"/>
      <w:r w:rsidRPr="00381329">
        <w:t>8</w:t>
      </w:r>
      <w:r w:rsidR="00A83F00" w:rsidRPr="00381329">
        <w:t>.1</w:t>
      </w:r>
      <w:r w:rsidR="00A83F00" w:rsidRPr="00381329">
        <w:tab/>
        <w:t>Introduction to Invoicing</w:t>
      </w:r>
      <w:bookmarkEnd w:id="130"/>
      <w:bookmarkEnd w:id="131"/>
    </w:p>
    <w:p w14:paraId="4521918D" w14:textId="4118AE1C" w:rsidR="00CF79AE" w:rsidRPr="00381329" w:rsidRDefault="00CF79AE" w:rsidP="0071133D">
      <w:r w:rsidRPr="00381329">
        <w:t xml:space="preserve">Invoicing is </w:t>
      </w:r>
      <w:r w:rsidR="0071133D" w:rsidRPr="00381329">
        <w:t>a</w:t>
      </w:r>
      <w:r w:rsidRPr="00381329">
        <w:t xml:space="preserve"> process </w:t>
      </w:r>
      <w:r w:rsidR="0071133D" w:rsidRPr="00381329">
        <w:t>where the Seller is</w:t>
      </w:r>
      <w:r w:rsidRPr="00381329">
        <w:t xml:space="preserve"> generating an Invoice and sending it to the Buyer.</w:t>
      </w:r>
    </w:p>
    <w:p w14:paraId="47ED1B4C" w14:textId="7903A667" w:rsidR="0071133D" w:rsidRPr="00381329" w:rsidRDefault="00032324" w:rsidP="0071133D">
      <w:r w:rsidRPr="00381329">
        <w:t>A</w:t>
      </w:r>
      <w:r w:rsidR="00CF79AE" w:rsidRPr="00381329">
        <w:t xml:space="preserve"> </w:t>
      </w:r>
      <w:r w:rsidR="00046805" w:rsidRPr="00381329">
        <w:t>Seller</w:t>
      </w:r>
      <w:r w:rsidR="00CF79AE" w:rsidRPr="00381329">
        <w:t xml:space="preserve"> in </w:t>
      </w:r>
      <w:r w:rsidR="00046805" w:rsidRPr="00381329">
        <w:t>a</w:t>
      </w:r>
      <w:r w:rsidR="00CF79AE" w:rsidRPr="00381329">
        <w:t xml:space="preserve"> Supply Chain invoices its Buyer for the services the Buyer has consumed. The invoice is based on </w:t>
      </w:r>
      <w:r w:rsidR="0071133D" w:rsidRPr="00381329">
        <w:t>an agreement between the Buyer and the Seller.</w:t>
      </w:r>
    </w:p>
    <w:p w14:paraId="00EA89FF" w14:textId="06CE5FE7" w:rsidR="0071133D" w:rsidRPr="00381329" w:rsidRDefault="00A42E54" w:rsidP="00A42E54">
      <w:pPr>
        <w:pStyle w:val="EX"/>
      </w:pPr>
      <w:r w:rsidRPr="00381329">
        <w:rPr>
          <w:b/>
          <w:bCs/>
        </w:rPr>
        <w:t>[</w:t>
      </w:r>
      <w:r w:rsidRPr="001D748C">
        <w:rPr>
          <w:b/>
          <w:bCs/>
        </w:rPr>
        <w:t>D6</w:t>
      </w:r>
      <w:r>
        <w:rPr>
          <w:b/>
          <w:bCs/>
        </w:rPr>
        <w:t>]</w:t>
      </w:r>
      <w:r w:rsidRPr="00381329">
        <w:rPr>
          <w:b/>
          <w:bCs/>
        </w:rPr>
        <w:tab/>
      </w:r>
      <w:r w:rsidR="0071133D" w:rsidRPr="00381329">
        <w:t xml:space="preserve">An agreement </w:t>
      </w:r>
      <w:r w:rsidR="0071133D" w:rsidRPr="001D748C">
        <w:rPr>
          <w:b/>
          <w:bCs/>
        </w:rPr>
        <w:t>SHOULD</w:t>
      </w:r>
      <w:r w:rsidR="0071133D" w:rsidRPr="00381329">
        <w:t xml:space="preserve"> be implemented using a smart-contract where applicable.</w:t>
      </w:r>
    </w:p>
    <w:p w14:paraId="3EFB9C36" w14:textId="327DC141" w:rsidR="0071133D" w:rsidRPr="00381329" w:rsidRDefault="0071133D" w:rsidP="0071133D">
      <w:pPr>
        <w:pStyle w:val="Heading2"/>
      </w:pPr>
      <w:bookmarkStart w:id="132" w:name="_Toc160787014"/>
      <w:bookmarkStart w:id="133" w:name="_Toc161049382"/>
      <w:r w:rsidRPr="00381329">
        <w:lastRenderedPageBreak/>
        <w:t>8.2</w:t>
      </w:r>
      <w:r w:rsidRPr="00381329">
        <w:tab/>
        <w:t xml:space="preserve">Invoicing </w:t>
      </w:r>
      <w:r w:rsidR="000C0313" w:rsidRPr="00381329">
        <w:t>occurrence</w:t>
      </w:r>
      <w:bookmarkEnd w:id="132"/>
      <w:bookmarkEnd w:id="133"/>
    </w:p>
    <w:p w14:paraId="2A0FADC4" w14:textId="58601905" w:rsidR="0071133D" w:rsidRPr="00381329" w:rsidRDefault="00DF6D6D" w:rsidP="0071133D">
      <w:r w:rsidRPr="00381329">
        <w:t xml:space="preserve">As discussed in </w:t>
      </w:r>
      <w:r w:rsidR="00381329" w:rsidRPr="00381329">
        <w:t>clause</w:t>
      </w:r>
      <w:r w:rsidRPr="00381329">
        <w:t xml:space="preserve"> </w:t>
      </w:r>
      <w:r w:rsidRPr="00381329">
        <w:fldChar w:fldCharType="begin"/>
      </w:r>
      <w:r w:rsidRPr="00381329">
        <w:instrText xml:space="preserve"> REF _Ref157419790 \h </w:instrText>
      </w:r>
      <w:r w:rsidRPr="00381329">
        <w:fldChar w:fldCharType="separate"/>
      </w:r>
      <w:r w:rsidR="00654C79" w:rsidRPr="00381329">
        <w:t>4.3.6</w:t>
      </w:r>
      <w:r w:rsidR="00654C79" w:rsidRPr="00381329">
        <w:tab/>
        <w:t>Frequency of Reconciliation and Settlement</w:t>
      </w:r>
      <w:r w:rsidRPr="00381329">
        <w:fldChar w:fldCharType="end"/>
      </w:r>
      <w:r w:rsidRPr="00381329">
        <w:t xml:space="preserve">) above invoices are issued on interval or </w:t>
      </w:r>
      <w:proofErr w:type="gramStart"/>
      <w:r w:rsidRPr="00381329">
        <w:t>event-based</w:t>
      </w:r>
      <w:proofErr w:type="gramEnd"/>
      <w:r w:rsidRPr="00381329">
        <w:t xml:space="preserve"> as defined in an agreement between the Seller and the Buyer.</w:t>
      </w:r>
    </w:p>
    <w:p w14:paraId="1916A0D0" w14:textId="40A45EC2" w:rsidR="000C0313" w:rsidRPr="00381329" w:rsidRDefault="000C0313" w:rsidP="00A42E54">
      <w:pPr>
        <w:pStyle w:val="BL"/>
        <w:numPr>
          <w:ilvl w:val="0"/>
          <w:numId w:val="26"/>
        </w:numPr>
      </w:pPr>
      <w:r w:rsidRPr="00381329">
        <w:t>Interval based invoices are generated on agreed upon intervals (e.g. Monthly, Quarterly, Weekly). Such invoices may include:</w:t>
      </w:r>
    </w:p>
    <w:p w14:paraId="46F3EB82" w14:textId="282E73A1" w:rsidR="0071133D" w:rsidRPr="00381329" w:rsidRDefault="000C0313" w:rsidP="00A42E54">
      <w:pPr>
        <w:pStyle w:val="B2"/>
      </w:pPr>
      <w:r w:rsidRPr="00381329">
        <w:t>Recurring charges for long-term services.</w:t>
      </w:r>
    </w:p>
    <w:p w14:paraId="2951B93A" w14:textId="29CA205B" w:rsidR="000C0313" w:rsidRPr="00381329" w:rsidRDefault="000C0313" w:rsidP="00A42E54">
      <w:pPr>
        <w:pStyle w:val="B2"/>
      </w:pPr>
      <w:proofErr w:type="gramStart"/>
      <w:r w:rsidRPr="00381329">
        <w:t>Non recurring</w:t>
      </w:r>
      <w:proofErr w:type="gramEnd"/>
      <w:r w:rsidRPr="00381329">
        <w:t xml:space="preserve"> charges that represent once-off transactions that occurred between the previous and current invoicing cycles.</w:t>
      </w:r>
    </w:p>
    <w:p w14:paraId="758E65D3" w14:textId="52FD2AC0" w:rsidR="000C0313" w:rsidRPr="00381329" w:rsidRDefault="000C0313" w:rsidP="00A42E54">
      <w:pPr>
        <w:pStyle w:val="B2"/>
      </w:pPr>
      <w:r w:rsidRPr="00381329">
        <w:t>Adjustments to previous invoices (e.g. debit or credit notes).</w:t>
      </w:r>
    </w:p>
    <w:p w14:paraId="1C605879" w14:textId="61F68AE6" w:rsidR="00032324" w:rsidRPr="00381329" w:rsidRDefault="000C0313" w:rsidP="0071133D">
      <w:pPr>
        <w:pStyle w:val="BL"/>
      </w:pPr>
      <w:r w:rsidRPr="00381329">
        <w:t xml:space="preserve">Event-based invoices are generated when an event occurs (e.g. a Buyer places an order with a Seller for a once off service such as </w:t>
      </w:r>
      <w:r w:rsidR="00032324" w:rsidRPr="00381329">
        <w:t>hardware or software upgrade).</w:t>
      </w:r>
    </w:p>
    <w:p w14:paraId="76CF66E8" w14:textId="32929EBD" w:rsidR="000C3423" w:rsidRPr="00381329" w:rsidRDefault="00A42E54" w:rsidP="00A42E54">
      <w:pPr>
        <w:pStyle w:val="EX"/>
      </w:pPr>
      <w:r w:rsidRPr="00381329">
        <w:rPr>
          <w:b/>
          <w:bCs/>
        </w:rPr>
        <w:t>[R1</w:t>
      </w:r>
      <w:r w:rsidR="00F8613E">
        <w:rPr>
          <w:b/>
          <w:bCs/>
        </w:rPr>
        <w:t>1</w:t>
      </w:r>
      <w:r w:rsidRPr="00381329">
        <w:rPr>
          <w:b/>
          <w:bCs/>
        </w:rPr>
        <w:t>]</w:t>
      </w:r>
      <w:r w:rsidRPr="00381329">
        <w:tab/>
      </w:r>
      <w:r w:rsidR="000C3423" w:rsidRPr="00381329">
        <w:t xml:space="preserve">A Seller </w:t>
      </w:r>
      <w:r w:rsidR="000C3423" w:rsidRPr="001D748C">
        <w:rPr>
          <w:b/>
          <w:bCs/>
        </w:rPr>
        <w:t>SHALL</w:t>
      </w:r>
      <w:r w:rsidR="000C3423" w:rsidRPr="00381329">
        <w:t xml:space="preserve"> invoice a Buyer on interval or event as per agreement between the Buyer and Seller.</w:t>
      </w:r>
    </w:p>
    <w:p w14:paraId="23360BF6" w14:textId="0E65B9B6" w:rsidR="000C3423" w:rsidRPr="00381329" w:rsidRDefault="00A42E54" w:rsidP="00A42E54">
      <w:pPr>
        <w:pStyle w:val="EX"/>
      </w:pPr>
      <w:r w:rsidRPr="00381329">
        <w:rPr>
          <w:b/>
          <w:bCs/>
        </w:rPr>
        <w:t>[</w:t>
      </w:r>
      <w:r w:rsidRPr="001D748C">
        <w:rPr>
          <w:b/>
          <w:bCs/>
        </w:rPr>
        <w:t>D7</w:t>
      </w:r>
      <w:r>
        <w:rPr>
          <w:b/>
          <w:bCs/>
        </w:rPr>
        <w:t>]</w:t>
      </w:r>
      <w:r w:rsidRPr="00381329">
        <w:rPr>
          <w:b/>
          <w:bCs/>
        </w:rPr>
        <w:tab/>
      </w:r>
      <w:r w:rsidR="000C3423" w:rsidRPr="00381329">
        <w:t xml:space="preserve">Invoice generation </w:t>
      </w:r>
      <w:r w:rsidR="000C3423" w:rsidRPr="001D748C">
        <w:rPr>
          <w:b/>
          <w:bCs/>
        </w:rPr>
        <w:t>SHOULD</w:t>
      </w:r>
      <w:r w:rsidR="000C3423" w:rsidRPr="00381329">
        <w:t xml:space="preserve"> be triggered by a smart contract where applicable.</w:t>
      </w:r>
    </w:p>
    <w:p w14:paraId="1E4271AE" w14:textId="08CA9585" w:rsidR="00032324" w:rsidRPr="00381329" w:rsidRDefault="000C3423" w:rsidP="00A42E54">
      <w:pPr>
        <w:pStyle w:val="Heading2"/>
      </w:pPr>
      <w:bookmarkStart w:id="134" w:name="_Toc160787015"/>
      <w:bookmarkStart w:id="135" w:name="_Toc161049383"/>
      <w:r w:rsidRPr="00381329">
        <w:t>8.3</w:t>
      </w:r>
      <w:r w:rsidRPr="00381329">
        <w:tab/>
        <w:t>Invoice contents</w:t>
      </w:r>
      <w:bookmarkEnd w:id="134"/>
      <w:bookmarkEnd w:id="135"/>
    </w:p>
    <w:p w14:paraId="40BF0217" w14:textId="357293F0" w:rsidR="005A1DD0" w:rsidRPr="00381329" w:rsidRDefault="00A42E54" w:rsidP="00A42E54">
      <w:pPr>
        <w:pStyle w:val="EX"/>
      </w:pPr>
      <w:bookmarkStart w:id="136" w:name="_Ref157417721"/>
      <w:r w:rsidRPr="00381329">
        <w:rPr>
          <w:b/>
          <w:bCs/>
        </w:rPr>
        <w:t>[R1</w:t>
      </w:r>
      <w:r w:rsidR="00F8613E">
        <w:rPr>
          <w:b/>
          <w:bCs/>
        </w:rPr>
        <w:t>2</w:t>
      </w:r>
      <w:r w:rsidRPr="00381329">
        <w:rPr>
          <w:b/>
          <w:bCs/>
        </w:rPr>
        <w:t>]</w:t>
      </w:r>
      <w:r w:rsidRPr="00381329">
        <w:tab/>
      </w:r>
      <w:r w:rsidR="000C3423" w:rsidRPr="00381329">
        <w:t xml:space="preserve">An Invoice </w:t>
      </w:r>
      <w:r w:rsidR="005A1DD0" w:rsidRPr="001D748C">
        <w:rPr>
          <w:b/>
          <w:bCs/>
        </w:rPr>
        <w:t>SHALL</w:t>
      </w:r>
      <w:r w:rsidR="005A1DD0" w:rsidRPr="00381329">
        <w:t xml:space="preserve"> include the following information:</w:t>
      </w:r>
      <w:bookmarkEnd w:id="136"/>
    </w:p>
    <w:p w14:paraId="109E6C1B" w14:textId="77777777" w:rsidR="005A1DD0" w:rsidRPr="00381329" w:rsidRDefault="005A1DD0" w:rsidP="00A42E54">
      <w:pPr>
        <w:pStyle w:val="B1"/>
      </w:pPr>
      <w:r w:rsidRPr="00381329">
        <w:t>Legal name of the Seller as stated in the agreement.</w:t>
      </w:r>
    </w:p>
    <w:p w14:paraId="048273F9" w14:textId="616591FC" w:rsidR="005A1DD0" w:rsidRPr="00381329" w:rsidRDefault="005A1DD0" w:rsidP="00A42E54">
      <w:pPr>
        <w:pStyle w:val="B1"/>
      </w:pPr>
      <w:r w:rsidRPr="00381329">
        <w:t>Legal name of the Buyer as stated in the agreement.</w:t>
      </w:r>
    </w:p>
    <w:p w14:paraId="5A11D0FA" w14:textId="77777777" w:rsidR="005A1DD0" w:rsidRPr="00381329" w:rsidRDefault="005A1DD0" w:rsidP="00A42E54">
      <w:pPr>
        <w:pStyle w:val="B1"/>
      </w:pPr>
      <w:r w:rsidRPr="00381329">
        <w:t>Date when invoice was issued.</w:t>
      </w:r>
    </w:p>
    <w:p w14:paraId="23133A54" w14:textId="453D41CB" w:rsidR="005A1DD0" w:rsidRPr="00381329" w:rsidRDefault="005A1DD0" w:rsidP="00A42E54">
      <w:pPr>
        <w:pStyle w:val="B1"/>
      </w:pPr>
      <w:r w:rsidRPr="00381329">
        <w:t>Description of goods and/or services covered in the invoice.</w:t>
      </w:r>
    </w:p>
    <w:p w14:paraId="7C200D51" w14:textId="2C344098" w:rsidR="005A1DD0" w:rsidRPr="00381329" w:rsidRDefault="005A1DD0" w:rsidP="00A42E54">
      <w:pPr>
        <w:pStyle w:val="B1"/>
      </w:pPr>
      <w:r w:rsidRPr="00381329">
        <w:t>The monetary amount of the invoice.</w:t>
      </w:r>
    </w:p>
    <w:p w14:paraId="5609F37F" w14:textId="7FE76E59" w:rsidR="005A1DD0" w:rsidRPr="00381329" w:rsidRDefault="005A1DD0" w:rsidP="00A42E54">
      <w:pPr>
        <w:pStyle w:val="B1"/>
      </w:pPr>
      <w:r w:rsidRPr="00381329">
        <w:t xml:space="preserve">Tax amount and respective tax type (e.g. </w:t>
      </w:r>
      <w:r w:rsidRPr="001D748C">
        <w:t>VAT</w:t>
      </w:r>
      <w:r>
        <w:t xml:space="preserve">/GST) and amount (e.g. </w:t>
      </w:r>
      <w:r w:rsidR="001E54B1" w:rsidRPr="00381329">
        <w:t>21</w:t>
      </w:r>
      <w:r w:rsidR="000B749F" w:rsidRPr="00381329">
        <w:t xml:space="preserve"> </w:t>
      </w:r>
      <w:r w:rsidR="001E54B1" w:rsidRPr="00381329">
        <w:t>%).</w:t>
      </w:r>
    </w:p>
    <w:p w14:paraId="5A495AAB" w14:textId="743F9E0B" w:rsidR="005A1DD0" w:rsidRPr="00381329" w:rsidRDefault="005A1DD0" w:rsidP="00A42E54">
      <w:pPr>
        <w:pStyle w:val="B1"/>
      </w:pPr>
      <w:r w:rsidRPr="00381329">
        <w:t>The currency of the invoice.</w:t>
      </w:r>
    </w:p>
    <w:p w14:paraId="09C08235" w14:textId="74780874" w:rsidR="005A1DD0" w:rsidRPr="00381329" w:rsidRDefault="005A1DD0" w:rsidP="00A42E54">
      <w:pPr>
        <w:pStyle w:val="B1"/>
      </w:pPr>
      <w:r w:rsidRPr="00381329">
        <w:t xml:space="preserve">A unique </w:t>
      </w:r>
      <w:r w:rsidRPr="001D748C">
        <w:t>ID</w:t>
      </w:r>
      <w:r>
        <w:t>/Number of the invoice.</w:t>
      </w:r>
    </w:p>
    <w:p w14:paraId="0AF29EC1" w14:textId="60D02DB0" w:rsidR="005A1DD0" w:rsidRPr="00381329" w:rsidRDefault="000975E7" w:rsidP="0071133D">
      <w:pPr>
        <w:pStyle w:val="B1"/>
      </w:pPr>
      <w:r w:rsidRPr="00381329">
        <w:t>Any information or detail required by policy or regulation.</w:t>
      </w:r>
    </w:p>
    <w:p w14:paraId="3EB8F422" w14:textId="2265A7F2" w:rsidR="005A1DD0" w:rsidRPr="00381329" w:rsidRDefault="00A42E54" w:rsidP="00A42E54">
      <w:pPr>
        <w:pStyle w:val="EX"/>
      </w:pPr>
      <w:r w:rsidRPr="00381329">
        <w:rPr>
          <w:b/>
          <w:bCs/>
        </w:rPr>
        <w:t>[</w:t>
      </w:r>
      <w:r w:rsidRPr="001D748C">
        <w:rPr>
          <w:b/>
          <w:bCs/>
        </w:rPr>
        <w:t>O</w:t>
      </w:r>
      <w:r w:rsidR="00F8613E" w:rsidRPr="001D748C">
        <w:rPr>
          <w:b/>
          <w:bCs/>
        </w:rPr>
        <w:t>8</w:t>
      </w:r>
      <w:r>
        <w:rPr>
          <w:b/>
          <w:bCs/>
        </w:rPr>
        <w:t>]</w:t>
      </w:r>
      <w:r w:rsidRPr="00381329">
        <w:rPr>
          <w:b/>
          <w:bCs/>
        </w:rPr>
        <w:tab/>
      </w:r>
      <w:r w:rsidR="005A1DD0" w:rsidRPr="00381329">
        <w:t xml:space="preserve">An invoice </w:t>
      </w:r>
      <w:r w:rsidR="005A1DD0" w:rsidRPr="001D748C">
        <w:rPr>
          <w:b/>
          <w:bCs/>
        </w:rPr>
        <w:t>MAY</w:t>
      </w:r>
      <w:r w:rsidR="005A1DD0" w:rsidRPr="00381329">
        <w:t xml:space="preserve"> include </w:t>
      </w:r>
      <w:r w:rsidR="00A3712B" w:rsidRPr="00381329">
        <w:t xml:space="preserve">some or </w:t>
      </w:r>
      <w:proofErr w:type="gramStart"/>
      <w:r w:rsidR="00A3712B" w:rsidRPr="00381329">
        <w:t>all of</w:t>
      </w:r>
      <w:proofErr w:type="gramEnd"/>
      <w:r w:rsidR="00A3712B" w:rsidRPr="00381329">
        <w:t xml:space="preserve"> </w:t>
      </w:r>
      <w:r w:rsidR="005A1DD0" w:rsidRPr="00381329">
        <w:t>the following additional information:</w:t>
      </w:r>
    </w:p>
    <w:p w14:paraId="14652512" w14:textId="08B7DC1A" w:rsidR="005A1DD0" w:rsidRPr="00381329" w:rsidRDefault="005A1DD0" w:rsidP="00A42E54">
      <w:pPr>
        <w:pStyle w:val="B1"/>
      </w:pPr>
      <w:r w:rsidRPr="00381329">
        <w:t>A detailed list of items included in the invoice.</w:t>
      </w:r>
    </w:p>
    <w:p w14:paraId="15B50CE7" w14:textId="04AAF617" w:rsidR="001E54B1" w:rsidRPr="00381329" w:rsidRDefault="00A3712B" w:rsidP="00A42E54">
      <w:pPr>
        <w:pStyle w:val="B1"/>
      </w:pPr>
      <w:r w:rsidRPr="00381329">
        <w:t>The monetary amount and currency of each item.</w:t>
      </w:r>
    </w:p>
    <w:p w14:paraId="19CCB96B" w14:textId="7F7BC205" w:rsidR="00A3712B" w:rsidRPr="00381329" w:rsidRDefault="00A3712B" w:rsidP="00A42E54">
      <w:pPr>
        <w:pStyle w:val="B1"/>
      </w:pPr>
      <w:r w:rsidRPr="00381329">
        <w:t xml:space="preserve">A reference to an external record (e.g. exchange rate published by a specific bank, a specific </w:t>
      </w:r>
      <w:r w:rsidRPr="001D748C">
        <w:t>DLT</w:t>
      </w:r>
      <w:r>
        <w:t xml:space="preserve"> record).</w:t>
      </w:r>
    </w:p>
    <w:p w14:paraId="19AC7881" w14:textId="3AC95363" w:rsidR="005A1DD0" w:rsidRPr="00381329" w:rsidRDefault="00A3712B" w:rsidP="00A42E54">
      <w:pPr>
        <w:pStyle w:val="B1"/>
      </w:pPr>
      <w:r w:rsidRPr="00381329">
        <w:t>Due date of the invoice.</w:t>
      </w:r>
    </w:p>
    <w:p w14:paraId="21F0893E" w14:textId="614BEA67" w:rsidR="00125312" w:rsidRPr="00381329" w:rsidRDefault="00113137" w:rsidP="0071133D">
      <w:pPr>
        <w:pStyle w:val="B1"/>
      </w:pPr>
      <w:r w:rsidRPr="00381329">
        <w:t>Any other detail mutually agreed upon between the Buyer and the Seller.</w:t>
      </w:r>
    </w:p>
    <w:p w14:paraId="292667CD" w14:textId="6C188DDA" w:rsidR="00125312" w:rsidRPr="00381329" w:rsidRDefault="00125312" w:rsidP="00A42E54">
      <w:pPr>
        <w:pStyle w:val="Heading2"/>
      </w:pPr>
      <w:bookmarkStart w:id="137" w:name="_Toc160787016"/>
      <w:bookmarkStart w:id="138" w:name="_Toc161049384"/>
      <w:r w:rsidRPr="00381329">
        <w:t>8.4</w:t>
      </w:r>
      <w:r w:rsidRPr="00381329">
        <w:tab/>
        <w:t>Buyer-Seller entity multiplicity</w:t>
      </w:r>
      <w:bookmarkEnd w:id="137"/>
      <w:bookmarkEnd w:id="138"/>
    </w:p>
    <w:p w14:paraId="1142591C" w14:textId="0D1B043B" w:rsidR="00125312" w:rsidRPr="00381329" w:rsidRDefault="00125312" w:rsidP="00125312">
      <w:r w:rsidRPr="00381329">
        <w:t xml:space="preserve">For tax, legislative and trade purposes companies may have multiple commercial, </w:t>
      </w:r>
      <w:proofErr w:type="gramStart"/>
      <w:r w:rsidRPr="00381329">
        <w:t>operational</w:t>
      </w:r>
      <w:proofErr w:type="gramEnd"/>
      <w:r w:rsidRPr="00381329">
        <w:t xml:space="preserve"> and legal entities registered in different jurisdictions. Such entities may be grouped and operate as a single Buyer/Seller or may operate as independent entities. Each such entity has a unique legal name.</w:t>
      </w:r>
    </w:p>
    <w:p w14:paraId="7DA4BFFC" w14:textId="0A6D85BD" w:rsidR="00125312" w:rsidRPr="00381329" w:rsidRDefault="00A42E54" w:rsidP="00A42E54">
      <w:pPr>
        <w:pStyle w:val="EX"/>
      </w:pPr>
      <w:r w:rsidRPr="00381329">
        <w:rPr>
          <w:b/>
          <w:bCs/>
        </w:rPr>
        <w:lastRenderedPageBreak/>
        <w:t>[O</w:t>
      </w:r>
      <w:r w:rsidR="00F8613E">
        <w:rPr>
          <w:b/>
          <w:bCs/>
        </w:rPr>
        <w:t>9</w:t>
      </w:r>
      <w:r w:rsidRPr="00381329">
        <w:rPr>
          <w:b/>
          <w:bCs/>
        </w:rPr>
        <w:t>]</w:t>
      </w:r>
      <w:r w:rsidRPr="00381329">
        <w:rPr>
          <w:b/>
          <w:bCs/>
        </w:rPr>
        <w:tab/>
      </w:r>
      <w:r w:rsidR="00125312" w:rsidRPr="00381329">
        <w:t xml:space="preserve">A Buyer and a Seller </w:t>
      </w:r>
      <w:r w:rsidR="00125312" w:rsidRPr="001D748C">
        <w:rPr>
          <w:b/>
          <w:bCs/>
        </w:rPr>
        <w:t>MAY</w:t>
      </w:r>
      <w:r w:rsidR="00125312" w:rsidRPr="00381329">
        <w:t xml:space="preserve"> each operate multiple entities.</w:t>
      </w:r>
    </w:p>
    <w:p w14:paraId="64A07446" w14:textId="55DD631F" w:rsidR="00D4218E" w:rsidRPr="00381329" w:rsidRDefault="000B749F" w:rsidP="000B749F">
      <w:pPr>
        <w:pStyle w:val="EX"/>
      </w:pPr>
      <w:r w:rsidRPr="00381329">
        <w:rPr>
          <w:b/>
          <w:bCs/>
        </w:rPr>
        <w:t>[R13]</w:t>
      </w:r>
      <w:r w:rsidRPr="00381329">
        <w:rPr>
          <w:b/>
          <w:bCs/>
        </w:rPr>
        <w:tab/>
      </w:r>
      <w:r w:rsidR="00D4218E" w:rsidRPr="00381329">
        <w:t xml:space="preserve">An agreement between a Buyer and a Seller </w:t>
      </w:r>
      <w:r w:rsidR="00D4218E" w:rsidRPr="001D748C">
        <w:rPr>
          <w:b/>
          <w:bCs/>
        </w:rPr>
        <w:t>SHALL</w:t>
      </w:r>
      <w:r w:rsidR="00D4218E" w:rsidRPr="00381329">
        <w:t xml:space="preserve"> include one or more entities on each side.</w:t>
      </w:r>
    </w:p>
    <w:p w14:paraId="538043BB" w14:textId="685589E6" w:rsidR="00125312" w:rsidRPr="00381329" w:rsidRDefault="000B749F" w:rsidP="000B749F">
      <w:pPr>
        <w:pStyle w:val="EX"/>
      </w:pPr>
      <w:r w:rsidRPr="00381329">
        <w:rPr>
          <w:b/>
          <w:bCs/>
        </w:rPr>
        <w:t>[R14]</w:t>
      </w:r>
      <w:r w:rsidRPr="00381329">
        <w:rPr>
          <w:b/>
          <w:bCs/>
        </w:rPr>
        <w:tab/>
      </w:r>
      <w:r w:rsidR="00D4218E" w:rsidRPr="00381329">
        <w:t xml:space="preserve">An agreement between a Buyer and a Seller </w:t>
      </w:r>
      <w:r w:rsidR="00D4218E" w:rsidRPr="001D748C">
        <w:rPr>
          <w:b/>
          <w:bCs/>
        </w:rPr>
        <w:t>SHALL</w:t>
      </w:r>
      <w:r w:rsidR="00D4218E" w:rsidRPr="00381329">
        <w:t xml:space="preserve"> list all the entities, on both sides, it applies to.</w:t>
      </w:r>
    </w:p>
    <w:p w14:paraId="6E14F35C" w14:textId="514E35F7" w:rsidR="00D4218E" w:rsidRPr="00381329" w:rsidRDefault="000B749F" w:rsidP="000B749F">
      <w:pPr>
        <w:pStyle w:val="EX"/>
      </w:pPr>
      <w:r w:rsidRPr="00381329">
        <w:rPr>
          <w:b/>
          <w:bCs/>
        </w:rPr>
        <w:t>[R15]</w:t>
      </w:r>
      <w:r w:rsidRPr="00381329">
        <w:rPr>
          <w:b/>
          <w:bCs/>
        </w:rPr>
        <w:tab/>
      </w:r>
      <w:r w:rsidR="00D4218E" w:rsidRPr="00381329">
        <w:t xml:space="preserve">When a Buyer places an order with a Seller it </w:t>
      </w:r>
      <w:r w:rsidR="00D4218E" w:rsidRPr="001D748C">
        <w:rPr>
          <w:b/>
          <w:bCs/>
        </w:rPr>
        <w:t>SHALL</w:t>
      </w:r>
      <w:r w:rsidR="00D4218E" w:rsidRPr="00381329">
        <w:t xml:space="preserve"> specify the Buyer's and Seller's legal entities involved with the specific order.</w:t>
      </w:r>
    </w:p>
    <w:p w14:paraId="1F878642" w14:textId="3F14444E" w:rsidR="00125312" w:rsidRPr="00381329" w:rsidRDefault="00D4218E" w:rsidP="00A42E54">
      <w:r w:rsidRPr="00381329">
        <w:t xml:space="preserve">The above requirements, together </w:t>
      </w:r>
      <w:r w:rsidRPr="00BD593F">
        <w:t xml:space="preserve">with </w:t>
      </w:r>
      <w:r w:rsidR="00BD593F" w:rsidRPr="00BD593F">
        <w:t>[R12]</w:t>
      </w:r>
      <w:r w:rsidRPr="00BD593F">
        <w:t>, ma</w:t>
      </w:r>
      <w:r w:rsidRPr="00381329">
        <w:t xml:space="preserve">ndate that each pair pf Buyer-Seller entities is invoiced separately. </w:t>
      </w:r>
    </w:p>
    <w:p w14:paraId="25CAF6A9" w14:textId="397F9DBE" w:rsidR="00CF79AE" w:rsidRPr="00381329" w:rsidRDefault="00113137" w:rsidP="00A42E54">
      <w:pPr>
        <w:pStyle w:val="Heading2"/>
      </w:pPr>
      <w:bookmarkStart w:id="139" w:name="_Toc160787017"/>
      <w:bookmarkStart w:id="140" w:name="_Toc161049385"/>
      <w:r w:rsidRPr="00381329">
        <w:t>8.5</w:t>
      </w:r>
      <w:r w:rsidR="00A42E54" w:rsidRPr="00381329">
        <w:tab/>
      </w:r>
      <w:r w:rsidRPr="00381329">
        <w:t xml:space="preserve">Additional requirements related to Invoicing in a </w:t>
      </w:r>
      <w:r w:rsidRPr="001D748C">
        <w:t>PDL</w:t>
      </w:r>
      <w:r>
        <w:t xml:space="preserve"> enabled </w:t>
      </w:r>
      <w:proofErr w:type="gramStart"/>
      <w:r w:rsidR="0092701A" w:rsidRPr="00381329">
        <w:t>environment</w:t>
      </w:r>
      <w:bookmarkEnd w:id="139"/>
      <w:bookmarkEnd w:id="140"/>
      <w:proofErr w:type="gramEnd"/>
    </w:p>
    <w:p w14:paraId="7665707B" w14:textId="75FC6CB7" w:rsidR="00CF79AE" w:rsidRPr="00381329" w:rsidRDefault="000B749F" w:rsidP="000B749F">
      <w:pPr>
        <w:pStyle w:val="EX"/>
      </w:pPr>
      <w:r w:rsidRPr="00381329">
        <w:rPr>
          <w:b/>
          <w:bCs/>
        </w:rPr>
        <w:t>[R16]</w:t>
      </w:r>
      <w:r w:rsidRPr="00381329">
        <w:rPr>
          <w:b/>
          <w:bCs/>
        </w:rPr>
        <w:tab/>
      </w:r>
      <w:r w:rsidR="00046805" w:rsidRPr="00381329">
        <w:t xml:space="preserve">The </w:t>
      </w:r>
      <w:r w:rsidR="0092701A" w:rsidRPr="00381329">
        <w:t>Seller</w:t>
      </w:r>
      <w:r w:rsidR="00113137" w:rsidRPr="00381329">
        <w:t xml:space="preserve"> </w:t>
      </w:r>
      <w:r w:rsidR="0092701A" w:rsidRPr="001D748C">
        <w:rPr>
          <w:b/>
        </w:rPr>
        <w:t>SHALL</w:t>
      </w:r>
      <w:r w:rsidR="00CF79AE" w:rsidRPr="00381329">
        <w:rPr>
          <w:b/>
          <w:bCs/>
        </w:rPr>
        <w:t xml:space="preserve"> </w:t>
      </w:r>
      <w:r w:rsidR="00CF79AE" w:rsidRPr="00381329">
        <w:t xml:space="preserve">invoice in conformance </w:t>
      </w:r>
      <w:r w:rsidR="00046805" w:rsidRPr="00381329">
        <w:t>with</w:t>
      </w:r>
      <w:r w:rsidR="00CF79AE" w:rsidRPr="00381329">
        <w:t xml:space="preserve"> </w:t>
      </w:r>
      <w:r w:rsidRPr="001D748C">
        <w:t>MEF</w:t>
      </w:r>
      <w:r>
        <w:t xml:space="preserve"> 74</w:t>
      </w:r>
      <w:r w:rsidR="00403A45">
        <w:t xml:space="preserve"> </w:t>
      </w:r>
      <w:r w:rsidR="00403A45" w:rsidRPr="00403A45">
        <w:t>[</w:t>
      </w:r>
      <w:r w:rsidR="00403A45" w:rsidRPr="00403A45">
        <w:fldChar w:fldCharType="begin"/>
      </w:r>
      <w:r w:rsidR="00403A45" w:rsidRPr="00403A45">
        <w:instrText xml:space="preserve">REF REF_MEFFORUMMEF_74DECEMBER2018 \h </w:instrText>
      </w:r>
      <w:r w:rsidR="00403A45" w:rsidRPr="00403A45">
        <w:fldChar w:fldCharType="separate"/>
      </w:r>
      <w:r w:rsidR="00403A45" w:rsidRPr="00403A45">
        <w:t>i.</w:t>
      </w:r>
      <w:r w:rsidR="00403A45" w:rsidRPr="00403A45">
        <w:rPr>
          <w:noProof/>
        </w:rPr>
        <w:t>1</w:t>
      </w:r>
      <w:r w:rsidR="00403A45" w:rsidRPr="00403A45">
        <w:fldChar w:fldCharType="end"/>
      </w:r>
      <w:r w:rsidR="00403A45" w:rsidRPr="00403A45">
        <w:t>]</w:t>
      </w:r>
      <w:r w:rsidR="005A6715" w:rsidRPr="00381329">
        <w:t>.</w:t>
      </w:r>
    </w:p>
    <w:p w14:paraId="2C991CA4" w14:textId="4F7B1090" w:rsidR="00CF79AE" w:rsidRPr="00381329" w:rsidRDefault="00A42E54" w:rsidP="00A42E54">
      <w:pPr>
        <w:pStyle w:val="EX"/>
      </w:pPr>
      <w:r w:rsidRPr="00381329">
        <w:rPr>
          <w:b/>
          <w:bCs/>
        </w:rPr>
        <w:t>[</w:t>
      </w:r>
      <w:r w:rsidRPr="001D748C">
        <w:rPr>
          <w:b/>
          <w:bCs/>
        </w:rPr>
        <w:t>D8</w:t>
      </w:r>
      <w:r>
        <w:rPr>
          <w:b/>
          <w:bCs/>
        </w:rPr>
        <w:t>]</w:t>
      </w:r>
      <w:r w:rsidRPr="00381329">
        <w:rPr>
          <w:b/>
          <w:bCs/>
        </w:rPr>
        <w:tab/>
      </w:r>
      <w:proofErr w:type="gramStart"/>
      <w:r w:rsidR="00046805" w:rsidRPr="00381329">
        <w:t>The</w:t>
      </w:r>
      <w:proofErr w:type="gramEnd"/>
      <w:r w:rsidR="00046805" w:rsidRPr="00381329">
        <w:t xml:space="preserve"> Seller</w:t>
      </w:r>
      <w:r w:rsidR="00CF79AE" w:rsidRPr="00381329">
        <w:t xml:space="preserve"> </w:t>
      </w:r>
      <w:r w:rsidR="00046805" w:rsidRPr="001D748C">
        <w:rPr>
          <w:b/>
          <w:bCs/>
        </w:rPr>
        <w:t>SHOULD</w:t>
      </w:r>
      <w:r w:rsidR="00CF79AE" w:rsidRPr="00381329">
        <w:t xml:space="preserve"> </w:t>
      </w:r>
      <w:r w:rsidR="00046805" w:rsidRPr="00381329">
        <w:t>keep a copy of the invoice in a</w:t>
      </w:r>
      <w:r w:rsidR="00CF79AE" w:rsidRPr="00381329">
        <w:t xml:space="preserve"> </w:t>
      </w:r>
      <w:r w:rsidR="00113137" w:rsidRPr="001D748C">
        <w:t>PDL</w:t>
      </w:r>
      <w:r w:rsidR="00CF79AE" w:rsidRPr="00381329">
        <w:t xml:space="preserve"> </w:t>
      </w:r>
      <w:r w:rsidR="00046805" w:rsidRPr="00381329">
        <w:t>that has been established with</w:t>
      </w:r>
      <w:r w:rsidR="00CF79AE" w:rsidRPr="00381329">
        <w:t xml:space="preserve"> the Buyer.</w:t>
      </w:r>
    </w:p>
    <w:p w14:paraId="08EC8018" w14:textId="4E5DA936" w:rsidR="00CF79AE" w:rsidRPr="00381329" w:rsidRDefault="000B749F" w:rsidP="000B749F">
      <w:pPr>
        <w:pStyle w:val="EX"/>
      </w:pPr>
      <w:r w:rsidRPr="00381329">
        <w:rPr>
          <w:b/>
          <w:bCs/>
        </w:rPr>
        <w:t>[R17]</w:t>
      </w:r>
      <w:r w:rsidRPr="00381329">
        <w:rPr>
          <w:b/>
          <w:bCs/>
        </w:rPr>
        <w:tab/>
      </w:r>
      <w:r w:rsidR="00046805" w:rsidRPr="00381329">
        <w:t>The Seller</w:t>
      </w:r>
      <w:r w:rsidR="00CF79AE" w:rsidRPr="00381329">
        <w:t xml:space="preserve"> </w:t>
      </w:r>
      <w:r w:rsidR="00046805" w:rsidRPr="001D748C">
        <w:rPr>
          <w:b/>
          <w:bCs/>
        </w:rPr>
        <w:t>SHALL</w:t>
      </w:r>
      <w:r w:rsidR="00CF79AE" w:rsidRPr="00381329">
        <w:t xml:space="preserve"> invoice based on contracted payment method (e.g. </w:t>
      </w:r>
      <w:r w:rsidRPr="001D748C">
        <w:t>FIAT</w:t>
      </w:r>
      <w:r>
        <w:t xml:space="preserve"> currency, crypto-currency or </w:t>
      </w:r>
      <w:proofErr w:type="spellStart"/>
      <w:r>
        <w:t>stablecoin</w:t>
      </w:r>
      <w:proofErr w:type="spellEnd"/>
      <w:r>
        <w:t>) as agreed by both parties.</w:t>
      </w:r>
    </w:p>
    <w:p w14:paraId="73FADB41" w14:textId="417C7F5D" w:rsidR="00CF79AE" w:rsidRPr="00381329" w:rsidRDefault="000B749F" w:rsidP="000B749F">
      <w:pPr>
        <w:pStyle w:val="EX"/>
      </w:pPr>
      <w:r w:rsidRPr="00381329">
        <w:rPr>
          <w:b/>
          <w:bCs/>
        </w:rPr>
        <w:t>[R18]</w:t>
      </w:r>
      <w:r w:rsidRPr="00381329">
        <w:rPr>
          <w:b/>
          <w:bCs/>
        </w:rPr>
        <w:tab/>
      </w:r>
      <w:r w:rsidR="00F60FB6" w:rsidRPr="00381329">
        <w:t>The Seller</w:t>
      </w:r>
      <w:r w:rsidR="00CF79AE" w:rsidRPr="00381329">
        <w:t xml:space="preserve"> </w:t>
      </w:r>
      <w:r w:rsidR="00F60FB6" w:rsidRPr="001D748C">
        <w:rPr>
          <w:b/>
          <w:bCs/>
        </w:rPr>
        <w:t>SHALL</w:t>
      </w:r>
      <w:r w:rsidR="00CF79AE" w:rsidRPr="00381329">
        <w:t xml:space="preserve"> be able to generate printed originals or human-readable electronic versions of invoices if required </w:t>
      </w:r>
      <w:r w:rsidR="00113137" w:rsidRPr="00381329">
        <w:t xml:space="preserve">to do so </w:t>
      </w:r>
      <w:r w:rsidR="00CF79AE" w:rsidRPr="00381329">
        <w:t>by the Buyer or by local regulations and/or legislation.</w:t>
      </w:r>
    </w:p>
    <w:p w14:paraId="79BA31D7" w14:textId="7E352455" w:rsidR="00CF79AE" w:rsidRPr="00381329" w:rsidRDefault="00A42E54" w:rsidP="00A42E54">
      <w:pPr>
        <w:pStyle w:val="EX"/>
      </w:pPr>
      <w:r w:rsidRPr="00381329">
        <w:rPr>
          <w:b/>
          <w:bCs/>
        </w:rPr>
        <w:t>[</w:t>
      </w:r>
      <w:r w:rsidRPr="001D748C">
        <w:rPr>
          <w:b/>
          <w:bCs/>
        </w:rPr>
        <w:t>D9</w:t>
      </w:r>
      <w:r>
        <w:rPr>
          <w:b/>
          <w:bCs/>
        </w:rPr>
        <w:t>]</w:t>
      </w:r>
      <w:r w:rsidRPr="00381329">
        <w:rPr>
          <w:b/>
          <w:bCs/>
        </w:rPr>
        <w:tab/>
      </w:r>
      <w:r w:rsidR="00CF79AE" w:rsidRPr="00381329">
        <w:t>The notification of the Buyer</w:t>
      </w:r>
      <w:r w:rsidR="00F60FB6" w:rsidRPr="00381329">
        <w:t xml:space="preserve"> about issuance of an invoice </w:t>
      </w:r>
      <w:r w:rsidR="00CF79AE" w:rsidRPr="001D748C">
        <w:rPr>
          <w:b/>
          <w:bCs/>
        </w:rPr>
        <w:t>SHOULD</w:t>
      </w:r>
      <w:r w:rsidR="00CF79AE" w:rsidRPr="00381329">
        <w:t xml:space="preserve"> be automated through a Smart Contract.</w:t>
      </w:r>
    </w:p>
    <w:p w14:paraId="7716EE3A" w14:textId="116430E5" w:rsidR="00CF79AE" w:rsidRPr="00381329" w:rsidRDefault="000B749F" w:rsidP="000B749F">
      <w:pPr>
        <w:pStyle w:val="EX"/>
      </w:pPr>
      <w:r w:rsidRPr="00381329">
        <w:rPr>
          <w:b/>
          <w:bCs/>
        </w:rPr>
        <w:t>[O1</w:t>
      </w:r>
      <w:r w:rsidR="00F8613E">
        <w:rPr>
          <w:b/>
          <w:bCs/>
        </w:rPr>
        <w:t>0</w:t>
      </w:r>
      <w:r w:rsidRPr="00381329">
        <w:rPr>
          <w:b/>
          <w:bCs/>
        </w:rPr>
        <w:t>]</w:t>
      </w:r>
      <w:r w:rsidRPr="00381329">
        <w:rPr>
          <w:b/>
          <w:bCs/>
        </w:rPr>
        <w:tab/>
      </w:r>
      <w:r w:rsidR="00CF79AE" w:rsidRPr="00381329">
        <w:t xml:space="preserve">The invoice </w:t>
      </w:r>
      <w:r w:rsidR="00CF79AE" w:rsidRPr="001D748C">
        <w:rPr>
          <w:b/>
          <w:bCs/>
        </w:rPr>
        <w:t>MAY</w:t>
      </w:r>
      <w:r w:rsidR="00CF79AE" w:rsidRPr="00381329">
        <w:t xml:space="preserve"> include </w:t>
      </w:r>
      <w:r w:rsidR="00F60FB6" w:rsidRPr="00381329">
        <w:t xml:space="preserve">recurring charges, </w:t>
      </w:r>
      <w:r w:rsidR="00CF79AE" w:rsidRPr="00381329">
        <w:t xml:space="preserve">one-off charges, service credits based on </w:t>
      </w:r>
      <w:r w:rsidRPr="001D748C">
        <w:t>SLA</w:t>
      </w:r>
      <w:r>
        <w:t xml:space="preserve">, penalties, refunds, </w:t>
      </w:r>
      <w:proofErr w:type="gramStart"/>
      <w:r>
        <w:t>discounts</w:t>
      </w:r>
      <w:proofErr w:type="gramEnd"/>
      <w:r>
        <w:t xml:space="preserve"> and taxes. </w:t>
      </w:r>
    </w:p>
    <w:p w14:paraId="6B548188" w14:textId="70E8C6A0" w:rsidR="00F60FB6" w:rsidRPr="00381329" w:rsidRDefault="000B749F" w:rsidP="000B749F">
      <w:pPr>
        <w:pStyle w:val="EX"/>
      </w:pPr>
      <w:r w:rsidRPr="00381329">
        <w:rPr>
          <w:b/>
          <w:bCs/>
        </w:rPr>
        <w:t>[R19]</w:t>
      </w:r>
      <w:r w:rsidRPr="00381329">
        <w:rPr>
          <w:b/>
          <w:bCs/>
        </w:rPr>
        <w:tab/>
      </w:r>
      <w:r w:rsidR="00F60FB6" w:rsidRPr="00381329">
        <w:t xml:space="preserve">The inclusion of multiple charge items into a single invoice </w:t>
      </w:r>
      <w:r w:rsidR="00F60FB6" w:rsidRPr="001D748C">
        <w:rPr>
          <w:b/>
          <w:bCs/>
        </w:rPr>
        <w:t>SHALL</w:t>
      </w:r>
      <w:r w:rsidR="00F60FB6" w:rsidRPr="00381329">
        <w:t xml:space="preserve"> be agreed by the Buyer and Seller and </w:t>
      </w:r>
      <w:r w:rsidR="0092701A" w:rsidRPr="00381329">
        <w:t>abide by</w:t>
      </w:r>
      <w:r w:rsidR="00F60FB6" w:rsidRPr="00381329">
        <w:t xml:space="preserve"> </w:t>
      </w:r>
      <w:r w:rsidR="00113137" w:rsidRPr="00381329">
        <w:t>the respective</w:t>
      </w:r>
      <w:r w:rsidR="00F60FB6" w:rsidRPr="00381329">
        <w:t xml:space="preserve"> regulations and or legislation.</w:t>
      </w:r>
    </w:p>
    <w:p w14:paraId="45BE2147" w14:textId="00AC0C35" w:rsidR="00CF79AE" w:rsidRPr="00381329" w:rsidRDefault="000B749F" w:rsidP="000B749F">
      <w:pPr>
        <w:pStyle w:val="EX"/>
      </w:pPr>
      <w:r w:rsidRPr="00381329">
        <w:rPr>
          <w:b/>
          <w:bCs/>
        </w:rPr>
        <w:t>[O1</w:t>
      </w:r>
      <w:r w:rsidR="00F8613E">
        <w:rPr>
          <w:b/>
          <w:bCs/>
        </w:rPr>
        <w:t>1</w:t>
      </w:r>
      <w:r w:rsidRPr="00381329">
        <w:rPr>
          <w:b/>
          <w:bCs/>
        </w:rPr>
        <w:t>]</w:t>
      </w:r>
      <w:r w:rsidRPr="00381329">
        <w:rPr>
          <w:b/>
          <w:bCs/>
        </w:rPr>
        <w:tab/>
      </w:r>
      <w:r w:rsidR="00CF79AE" w:rsidRPr="001D748C">
        <w:t>SLA</w:t>
      </w:r>
      <w:r>
        <w:t xml:space="preserve"> credits</w:t>
      </w:r>
      <w:r w:rsidR="0092701A" w:rsidRPr="00381329">
        <w:t xml:space="preserve"> included in an invoice</w:t>
      </w:r>
      <w:r w:rsidR="00CF79AE" w:rsidRPr="00381329">
        <w:t xml:space="preserve"> </w:t>
      </w:r>
      <w:r w:rsidR="00CF79AE" w:rsidRPr="001D748C">
        <w:rPr>
          <w:b/>
          <w:bCs/>
        </w:rPr>
        <w:t>MAY</w:t>
      </w:r>
      <w:r w:rsidR="00CF79AE" w:rsidRPr="00381329">
        <w:t xml:space="preserve"> be calculated on a per-service-instance basis or be aggregated in agreed-upon forms in conformance with </w:t>
      </w:r>
      <w:r w:rsidRPr="001D748C">
        <w:t>MEF</w:t>
      </w:r>
      <w:r>
        <w:t xml:space="preserve"> 74</w:t>
      </w:r>
      <w:r w:rsidR="00403A45">
        <w:t xml:space="preserve"> </w:t>
      </w:r>
      <w:r w:rsidR="00403A45" w:rsidRPr="00403A45">
        <w:t>[</w:t>
      </w:r>
      <w:r w:rsidR="00403A45" w:rsidRPr="00403A45">
        <w:fldChar w:fldCharType="begin"/>
      </w:r>
      <w:r w:rsidR="00403A45" w:rsidRPr="00403A45">
        <w:instrText xml:space="preserve">REF REF_MEFFORUMMEF_74DECEMBER2018 \h </w:instrText>
      </w:r>
      <w:r w:rsidR="00403A45" w:rsidRPr="00403A45">
        <w:fldChar w:fldCharType="separate"/>
      </w:r>
      <w:r w:rsidR="00403A45" w:rsidRPr="00403A45">
        <w:t>i.</w:t>
      </w:r>
      <w:r w:rsidR="00403A45" w:rsidRPr="00403A45">
        <w:rPr>
          <w:noProof/>
        </w:rPr>
        <w:t>1</w:t>
      </w:r>
      <w:r w:rsidR="00403A45" w:rsidRPr="00403A45">
        <w:fldChar w:fldCharType="end"/>
      </w:r>
      <w:r w:rsidR="00403A45" w:rsidRPr="00403A45">
        <w:t>]</w:t>
      </w:r>
      <w:r w:rsidR="005A6715" w:rsidRPr="00381329">
        <w:t>.</w:t>
      </w:r>
    </w:p>
    <w:p w14:paraId="477E3D52" w14:textId="08820B25" w:rsidR="00CF79AE" w:rsidRPr="00381329" w:rsidRDefault="00930E85" w:rsidP="00A83F00">
      <w:pPr>
        <w:pStyle w:val="Heading1"/>
      </w:pPr>
      <w:bookmarkStart w:id="141" w:name="_Ref157420072"/>
      <w:bookmarkStart w:id="142" w:name="_Toc160787018"/>
      <w:bookmarkStart w:id="143" w:name="_Toc161049386"/>
      <w:r w:rsidRPr="00381329">
        <w:t>9</w:t>
      </w:r>
      <w:r w:rsidR="00A83F00" w:rsidRPr="00381329">
        <w:tab/>
      </w:r>
      <w:r w:rsidR="00CF79AE" w:rsidRPr="00381329">
        <w:t>Discrepanc</w:t>
      </w:r>
      <w:r w:rsidR="00A83F00" w:rsidRPr="00381329">
        <w:t>y</w:t>
      </w:r>
      <w:r w:rsidR="002C570E" w:rsidRPr="00381329">
        <w:t xml:space="preserve"> and Dispute</w:t>
      </w:r>
      <w:r w:rsidR="00A83F00" w:rsidRPr="00381329">
        <w:t xml:space="preserve"> Management</w:t>
      </w:r>
      <w:bookmarkEnd w:id="141"/>
      <w:bookmarkEnd w:id="142"/>
      <w:bookmarkEnd w:id="143"/>
    </w:p>
    <w:p w14:paraId="66AC16B4" w14:textId="7A8D42F6" w:rsidR="00A83F00" w:rsidRPr="00381329" w:rsidRDefault="00930E85" w:rsidP="00A83F00">
      <w:pPr>
        <w:pStyle w:val="Heading2"/>
      </w:pPr>
      <w:bookmarkStart w:id="144" w:name="_Toc160787019"/>
      <w:bookmarkStart w:id="145" w:name="_Toc161049387"/>
      <w:r w:rsidRPr="00381329">
        <w:t>9</w:t>
      </w:r>
      <w:r w:rsidR="00A83F00" w:rsidRPr="00381329">
        <w:t>.1</w:t>
      </w:r>
      <w:r w:rsidR="00A83F00" w:rsidRPr="00381329">
        <w:tab/>
        <w:t>Introduction to Discrepancies and Disputes</w:t>
      </w:r>
      <w:bookmarkEnd w:id="144"/>
      <w:bookmarkEnd w:id="145"/>
    </w:p>
    <w:p w14:paraId="03478F7F" w14:textId="55B2A0B5" w:rsidR="009F47BE" w:rsidRPr="00381329" w:rsidRDefault="009F47BE" w:rsidP="00A42E54">
      <w:r w:rsidRPr="00381329">
        <w:t xml:space="preserve">Discrepancies are differences between data/information held by two entities with relation to a specific item such as an invoice, a </w:t>
      </w:r>
      <w:proofErr w:type="gramStart"/>
      <w:r w:rsidRPr="00381329">
        <w:t>rate</w:t>
      </w:r>
      <w:proofErr w:type="gramEnd"/>
      <w:r w:rsidRPr="00381329">
        <w:t xml:space="preserve"> or a measurement.</w:t>
      </w:r>
      <w:r w:rsidR="00374555">
        <w:t xml:space="preserve"> </w:t>
      </w:r>
      <w:r w:rsidRPr="00381329">
        <w:t>Discrepancies may be measured by the following metrics:</w:t>
      </w:r>
    </w:p>
    <w:p w14:paraId="3E35C6C9" w14:textId="5155F00E" w:rsidR="009F47BE" w:rsidRPr="00381329" w:rsidRDefault="00150CBB" w:rsidP="00A42E54">
      <w:pPr>
        <w:pStyle w:val="B1"/>
      </w:pPr>
      <w:r w:rsidRPr="00381329">
        <w:t>Differences in the monetary value of a rate</w:t>
      </w:r>
      <w:r w:rsidR="009F47BE" w:rsidRPr="00381329">
        <w:t xml:space="preserve"> (e.g. Seller claims the rate is </w:t>
      </w:r>
      <w:r w:rsidRPr="001D748C">
        <w:t>USD</w:t>
      </w:r>
      <w:r>
        <w:t xml:space="preserve"> 1.05/mile and Buyer claims it is </w:t>
      </w:r>
      <w:r w:rsidRPr="001D748C">
        <w:t>USD</w:t>
      </w:r>
      <w:r>
        <w:t xml:space="preserve"> 1.03/mile</w:t>
      </w:r>
      <w:r w:rsidR="0050302A" w:rsidRPr="00381329">
        <w:t xml:space="preserve"> thus the difference is </w:t>
      </w:r>
      <w:r w:rsidRPr="001D748C">
        <w:t>USD</w:t>
      </w:r>
      <w:r>
        <w:t xml:space="preserve"> 0.02/mile).</w:t>
      </w:r>
    </w:p>
    <w:p w14:paraId="27D272F1" w14:textId="426F225C" w:rsidR="00150CBB" w:rsidRPr="00381329" w:rsidRDefault="00150CBB" w:rsidP="00A42E54">
      <w:pPr>
        <w:pStyle w:val="B1"/>
      </w:pPr>
      <w:r w:rsidRPr="00381329">
        <w:t xml:space="preserve">Differences in measurements represented in units of measurement (e.g. Flow of data is measured in </w:t>
      </w:r>
      <w:r w:rsidRPr="001D748C">
        <w:t>GB</w:t>
      </w:r>
      <w:r>
        <w:t xml:space="preserve">. The Seller claims the Buyer has used 2.5 </w:t>
      </w:r>
      <w:r w:rsidRPr="001D748C">
        <w:t>GB</w:t>
      </w:r>
      <w:r>
        <w:t xml:space="preserve"> of data and the Buyer claims they have only used 2.4 </w:t>
      </w:r>
      <w:r w:rsidRPr="001D748C">
        <w:t>GB</w:t>
      </w:r>
      <w:r>
        <w:t xml:space="preserve"> thus the difference in</w:t>
      </w:r>
      <w:r w:rsidRPr="00381329">
        <w:t xml:space="preserve"> measurements is 0.1GB).</w:t>
      </w:r>
    </w:p>
    <w:p w14:paraId="13872EE0" w14:textId="5153C029" w:rsidR="009F47BE" w:rsidRPr="00381329" w:rsidRDefault="009F47BE" w:rsidP="00A42E54">
      <w:pPr>
        <w:pStyle w:val="B1"/>
      </w:pPr>
      <w:r w:rsidRPr="00381329">
        <w:t>Fractional difference between numerical values represented in percent or decimal notation (</w:t>
      </w:r>
      <w:r w:rsidR="004E7078" w:rsidRPr="00381329">
        <w:t>e.g.</w:t>
      </w:r>
      <w:r w:rsidR="0050302A" w:rsidRPr="00381329">
        <w:t xml:space="preserve"> 1.05 divided by 1.03 yields a ~2</w:t>
      </w:r>
      <w:r w:rsidR="00374555">
        <w:t xml:space="preserve"> </w:t>
      </w:r>
      <w:r w:rsidR="0050302A" w:rsidRPr="00381329">
        <w:t>% discrepancy which can also be represented as a decimal fraction 0.02).</w:t>
      </w:r>
    </w:p>
    <w:p w14:paraId="3114B582" w14:textId="44C7BF8D" w:rsidR="0050302A" w:rsidRPr="00381329" w:rsidRDefault="0050302A" w:rsidP="00A42E54">
      <w:pPr>
        <w:pStyle w:val="B1"/>
      </w:pPr>
      <w:r w:rsidRPr="00381329">
        <w:t xml:space="preserve">Total Monetary value of the difference (e.g. </w:t>
      </w:r>
      <w:r w:rsidR="00150CBB" w:rsidRPr="00381329">
        <w:t xml:space="preserve">Based on rate and measurements </w:t>
      </w:r>
      <w:r w:rsidRPr="00381329">
        <w:t xml:space="preserve">the Seller invoices an amount of </w:t>
      </w:r>
      <w:r w:rsidRPr="001D748C">
        <w:t>USD</w:t>
      </w:r>
      <w:r>
        <w:t xml:space="preserve"> 1,500 while the buyer claims that based on their own </w:t>
      </w:r>
      <w:r w:rsidR="002C570E" w:rsidRPr="00381329">
        <w:t>calculations,</w:t>
      </w:r>
      <w:r w:rsidRPr="00381329">
        <w:t xml:space="preserve"> they only </w:t>
      </w:r>
      <w:r w:rsidR="00150CBB" w:rsidRPr="00381329">
        <w:t xml:space="preserve">owe </w:t>
      </w:r>
      <w:r w:rsidRPr="00381329">
        <w:t xml:space="preserve">the Seller </w:t>
      </w:r>
      <w:r w:rsidRPr="001D748C">
        <w:t>USD</w:t>
      </w:r>
      <w:r>
        <w:t xml:space="preserve"> 1,300 thus the total monetary difference </w:t>
      </w:r>
      <w:r w:rsidR="00F911F5" w:rsidRPr="00F911F5">
        <w:t>i</w:t>
      </w:r>
      <w:commentRangeStart w:id="146"/>
      <w:commentRangeStart w:id="147"/>
      <w:r w:rsidRPr="00F911F5">
        <w:t>s</w:t>
      </w:r>
      <w:commentRangeEnd w:id="146"/>
      <w:r w:rsidR="00BD593F" w:rsidRPr="00F911F5">
        <w:rPr>
          <w:rStyle w:val="CommentReference"/>
        </w:rPr>
        <w:commentReference w:id="146"/>
      </w:r>
      <w:commentRangeEnd w:id="147"/>
      <w:r w:rsidR="00F911F5" w:rsidRPr="00F911F5">
        <w:rPr>
          <w:rStyle w:val="CommentReference"/>
        </w:rPr>
        <w:commentReference w:id="147"/>
      </w:r>
      <w:r w:rsidRPr="00381329">
        <w:t xml:space="preserve"> </w:t>
      </w:r>
      <w:r w:rsidRPr="001D748C">
        <w:t>USD</w:t>
      </w:r>
      <w:r>
        <w:t xml:space="preserve"> 200).</w:t>
      </w:r>
    </w:p>
    <w:p w14:paraId="2E84F7B6" w14:textId="74E94C15" w:rsidR="002C570E" w:rsidRPr="00381329" w:rsidRDefault="00A42E54" w:rsidP="00A42E54">
      <w:pPr>
        <w:pStyle w:val="EX"/>
      </w:pPr>
      <w:r w:rsidRPr="00381329">
        <w:rPr>
          <w:b/>
          <w:bCs/>
        </w:rPr>
        <w:lastRenderedPageBreak/>
        <w:t>[D10]</w:t>
      </w:r>
      <w:r w:rsidRPr="00381329">
        <w:rPr>
          <w:b/>
          <w:bCs/>
        </w:rPr>
        <w:tab/>
      </w:r>
      <w:r w:rsidR="002C570E" w:rsidRPr="00381329">
        <w:t xml:space="preserve">Discrepancies and dispute management methods </w:t>
      </w:r>
      <w:r w:rsidR="002C570E" w:rsidRPr="001D748C">
        <w:rPr>
          <w:b/>
          <w:bCs/>
        </w:rPr>
        <w:t>SHOULD</w:t>
      </w:r>
      <w:r w:rsidR="002C570E" w:rsidRPr="00381329">
        <w:t xml:space="preserve"> be agreed between the Buyer and Seller and documented in a legal agreement.</w:t>
      </w:r>
    </w:p>
    <w:p w14:paraId="5986E1D9" w14:textId="31655B12" w:rsidR="002C570E" w:rsidRPr="00381329" w:rsidRDefault="00A42E54" w:rsidP="00A42E54">
      <w:pPr>
        <w:pStyle w:val="EX"/>
      </w:pPr>
      <w:r w:rsidRPr="00381329">
        <w:rPr>
          <w:b/>
          <w:bCs/>
        </w:rPr>
        <w:t>[D11]</w:t>
      </w:r>
      <w:r w:rsidRPr="00381329">
        <w:rPr>
          <w:b/>
          <w:bCs/>
        </w:rPr>
        <w:tab/>
      </w:r>
      <w:r w:rsidR="002C570E" w:rsidRPr="00381329">
        <w:t xml:space="preserve">In a </w:t>
      </w:r>
      <w:r w:rsidRPr="001D748C">
        <w:t>PDL</w:t>
      </w:r>
      <w:r>
        <w:t xml:space="preserve"> enabled environment such agreement </w:t>
      </w:r>
      <w:r w:rsidR="002C570E" w:rsidRPr="001D748C">
        <w:rPr>
          <w:b/>
          <w:bCs/>
        </w:rPr>
        <w:t>SHOULD</w:t>
      </w:r>
      <w:r w:rsidR="002C570E" w:rsidRPr="00381329">
        <w:t xml:space="preserve"> be implemented as a smart contract where applicable.</w:t>
      </w:r>
    </w:p>
    <w:p w14:paraId="51034FA0" w14:textId="37D1A0B5" w:rsidR="00CF79AE" w:rsidRPr="00381329" w:rsidRDefault="000B749F" w:rsidP="000B749F">
      <w:pPr>
        <w:pStyle w:val="EX"/>
      </w:pPr>
      <w:r w:rsidRPr="00381329">
        <w:rPr>
          <w:b/>
          <w:bCs/>
        </w:rPr>
        <w:t>[R20]</w:t>
      </w:r>
      <w:r w:rsidRPr="00381329">
        <w:rPr>
          <w:b/>
          <w:bCs/>
        </w:rPr>
        <w:tab/>
      </w:r>
      <w:r w:rsidR="00CF79AE" w:rsidRPr="00381329">
        <w:t xml:space="preserve">If the </w:t>
      </w:r>
      <w:r w:rsidR="002C570E" w:rsidRPr="00381329">
        <w:t>parties agree</w:t>
      </w:r>
      <w:r w:rsidR="00CF79AE" w:rsidRPr="00381329">
        <w:t xml:space="preserve"> that there is no discrepancy, or if the discrepancy is below </w:t>
      </w:r>
      <w:r w:rsidR="005A6715" w:rsidRPr="00381329">
        <w:t>a</w:t>
      </w:r>
      <w:r w:rsidR="00CF79AE" w:rsidRPr="00381329">
        <w:t xml:space="preserve"> defined threshold</w:t>
      </w:r>
      <w:r w:rsidR="002C570E" w:rsidRPr="00381329">
        <w:t xml:space="preserve"> (see </w:t>
      </w:r>
      <w:r w:rsidR="00381329" w:rsidRPr="00381329">
        <w:t>clause</w:t>
      </w:r>
      <w:r w:rsidR="002C570E" w:rsidRPr="00381329">
        <w:t xml:space="preserve"> </w:t>
      </w:r>
      <w:r w:rsidR="002C570E" w:rsidRPr="00381329">
        <w:fldChar w:fldCharType="begin"/>
      </w:r>
      <w:r w:rsidR="002C570E" w:rsidRPr="00381329">
        <w:instrText xml:space="preserve"> REF _Ref157438495 \h  \* MERGEFORMAT </w:instrText>
      </w:r>
      <w:r w:rsidR="002C570E" w:rsidRPr="00381329">
        <w:fldChar w:fldCharType="separate"/>
      </w:r>
      <w:r w:rsidR="00654C79" w:rsidRPr="00381329">
        <w:t>9.2</w:t>
      </w:r>
      <w:r w:rsidR="00654C79" w:rsidRPr="00381329">
        <w:tab/>
        <w:t>Dispute Threshold</w:t>
      </w:r>
      <w:r w:rsidR="002C570E" w:rsidRPr="00381329">
        <w:fldChar w:fldCharType="end"/>
      </w:r>
      <w:r w:rsidR="002C570E" w:rsidRPr="00381329">
        <w:t xml:space="preserve"> herewith), the settlement amount </w:t>
      </w:r>
      <w:r w:rsidR="00863E9C" w:rsidRPr="001D748C">
        <w:rPr>
          <w:b/>
          <w:bCs/>
        </w:rPr>
        <w:t>SHALL</w:t>
      </w:r>
      <w:r w:rsidR="002C570E" w:rsidRPr="00381329">
        <w:t xml:space="preserve"> be </w:t>
      </w:r>
      <w:r w:rsidR="00CF79AE" w:rsidRPr="00381329">
        <w:t>equal to the invoice amount.</w:t>
      </w:r>
    </w:p>
    <w:p w14:paraId="6ECE1890" w14:textId="0DCACB63" w:rsidR="00863E9C" w:rsidRPr="00381329" w:rsidRDefault="000B749F" w:rsidP="000B749F">
      <w:pPr>
        <w:pStyle w:val="EX"/>
      </w:pPr>
      <w:bookmarkStart w:id="148" w:name="_Ref157438903"/>
      <w:r w:rsidRPr="00381329">
        <w:rPr>
          <w:b/>
          <w:bCs/>
        </w:rPr>
        <w:t>[O1</w:t>
      </w:r>
      <w:r w:rsidR="00F8613E">
        <w:rPr>
          <w:b/>
          <w:bCs/>
        </w:rPr>
        <w:t>2</w:t>
      </w:r>
      <w:r w:rsidRPr="00381329">
        <w:rPr>
          <w:b/>
          <w:bCs/>
        </w:rPr>
        <w:t>]</w:t>
      </w:r>
      <w:r w:rsidRPr="00381329">
        <w:rPr>
          <w:b/>
          <w:bCs/>
        </w:rPr>
        <w:tab/>
      </w:r>
      <w:r w:rsidR="00CF79AE" w:rsidRPr="00381329">
        <w:t xml:space="preserve">If the </w:t>
      </w:r>
      <w:r w:rsidR="00863E9C" w:rsidRPr="00381329">
        <w:t>Buyer</w:t>
      </w:r>
      <w:r w:rsidR="00CF79AE" w:rsidRPr="00381329">
        <w:t xml:space="preserve"> determines that there is an actionable discrepancy, it </w:t>
      </w:r>
      <w:r w:rsidR="00863E9C" w:rsidRPr="001D748C">
        <w:rPr>
          <w:b/>
          <w:bCs/>
        </w:rPr>
        <w:t>MAY</w:t>
      </w:r>
      <w:r w:rsidR="00CF79AE" w:rsidRPr="00381329">
        <w:t xml:space="preserve"> raise a dispute that triggers a dispute resolution process.</w:t>
      </w:r>
      <w:bookmarkEnd w:id="148"/>
      <w:r w:rsidR="00CF79AE" w:rsidRPr="00381329">
        <w:t xml:space="preserve"> </w:t>
      </w:r>
    </w:p>
    <w:p w14:paraId="071288FE" w14:textId="65D5503C" w:rsidR="00CF79AE" w:rsidRPr="00381329" w:rsidRDefault="000B749F" w:rsidP="000B749F">
      <w:pPr>
        <w:pStyle w:val="EX"/>
      </w:pPr>
      <w:r w:rsidRPr="00381329">
        <w:rPr>
          <w:b/>
          <w:bCs/>
        </w:rPr>
        <w:t>[O1</w:t>
      </w:r>
      <w:r w:rsidR="00F8613E">
        <w:rPr>
          <w:b/>
          <w:bCs/>
        </w:rPr>
        <w:t>3</w:t>
      </w:r>
      <w:r w:rsidRPr="00381329">
        <w:rPr>
          <w:b/>
          <w:bCs/>
        </w:rPr>
        <w:t>]</w:t>
      </w:r>
      <w:r w:rsidRPr="00381329">
        <w:rPr>
          <w:b/>
          <w:bCs/>
        </w:rPr>
        <w:tab/>
      </w:r>
      <w:r w:rsidR="00CF79AE" w:rsidRPr="00381329">
        <w:t xml:space="preserve">The dispute resolution process </w:t>
      </w:r>
      <w:r w:rsidR="00863E9C" w:rsidRPr="001D748C">
        <w:rPr>
          <w:b/>
          <w:bCs/>
        </w:rPr>
        <w:t>MAY</w:t>
      </w:r>
      <w:r w:rsidR="00CF79AE" w:rsidRPr="00381329">
        <w:t xml:space="preserve"> be automated as per prior agreement between Buyer and </w:t>
      </w:r>
      <w:proofErr w:type="gramStart"/>
      <w:r w:rsidR="00CF79AE" w:rsidRPr="00381329">
        <w:t>Seller</w:t>
      </w:r>
      <w:proofErr w:type="gramEnd"/>
      <w:r w:rsidR="00CF79AE" w:rsidRPr="00381329">
        <w:t xml:space="preserve"> or it </w:t>
      </w:r>
      <w:r w:rsidR="00863E9C" w:rsidRPr="001D748C">
        <w:rPr>
          <w:b/>
          <w:bCs/>
        </w:rPr>
        <w:t>MAY</w:t>
      </w:r>
      <w:r w:rsidR="00CF79AE" w:rsidRPr="00381329">
        <w:t xml:space="preserve"> be manual or a combination of the two.</w:t>
      </w:r>
    </w:p>
    <w:p w14:paraId="1D9C4BE7" w14:textId="71EC877C" w:rsidR="00CF79AE" w:rsidRPr="00381329" w:rsidRDefault="00930E85" w:rsidP="00863E9C">
      <w:pPr>
        <w:pStyle w:val="Heading2"/>
      </w:pPr>
      <w:bookmarkStart w:id="149" w:name="_Ref157438495"/>
      <w:bookmarkStart w:id="150" w:name="_Toc160787020"/>
      <w:bookmarkStart w:id="151" w:name="_Toc161049388"/>
      <w:r w:rsidRPr="00381329">
        <w:t>9</w:t>
      </w:r>
      <w:r w:rsidR="00A83F00" w:rsidRPr="00381329">
        <w:t>.2</w:t>
      </w:r>
      <w:r w:rsidR="00A83F00" w:rsidRPr="00381329">
        <w:tab/>
      </w:r>
      <w:r w:rsidR="00CF79AE" w:rsidRPr="00381329">
        <w:t>Dispute Threshold</w:t>
      </w:r>
      <w:bookmarkEnd w:id="149"/>
      <w:bookmarkEnd w:id="150"/>
      <w:bookmarkEnd w:id="151"/>
    </w:p>
    <w:p w14:paraId="20BF7363" w14:textId="77777777" w:rsidR="00863E9C" w:rsidRPr="00381329" w:rsidRDefault="00CF79AE" w:rsidP="00A42E54">
      <w:r w:rsidRPr="00381329">
        <w:t xml:space="preserve">The dispute threshold is a value </w:t>
      </w:r>
      <w:r w:rsidR="00863E9C" w:rsidRPr="00381329">
        <w:t>in an agreement between the Buyer and the Seller</w:t>
      </w:r>
      <w:r w:rsidRPr="00381329">
        <w:t xml:space="preserve">. </w:t>
      </w:r>
    </w:p>
    <w:p w14:paraId="10189651" w14:textId="5BE07F4A" w:rsidR="00CF79AE" w:rsidRPr="00381329" w:rsidRDefault="00CF79AE" w:rsidP="00A42E54">
      <w:r w:rsidRPr="00381329">
        <w:t xml:space="preserve">When the discrepancy is above the dispute threshold, the </w:t>
      </w:r>
      <w:r w:rsidR="00863E9C" w:rsidRPr="00381329">
        <w:t>Buyer may</w:t>
      </w:r>
      <w:r w:rsidRPr="00381329">
        <w:t xml:space="preserve"> trigger a dispute resolution process</w:t>
      </w:r>
      <w:r w:rsidR="00863E9C" w:rsidRPr="00381329">
        <w:t xml:space="preserve"> (see require</w:t>
      </w:r>
      <w:r w:rsidR="00863E9C" w:rsidRPr="00BD593F">
        <w:t xml:space="preserve">ment </w:t>
      </w:r>
      <w:r w:rsidR="00BD593F" w:rsidRPr="00BD593F">
        <w:t>[O12]</w:t>
      </w:r>
      <w:r w:rsidR="00863E9C" w:rsidRPr="00BD593F">
        <w:t>), a</w:t>
      </w:r>
      <w:r w:rsidR="00863E9C" w:rsidRPr="00381329">
        <w:t>nd conversely, when below the threshold, it will accept the invoice</w:t>
      </w:r>
      <w:r w:rsidR="005A6715" w:rsidRPr="00381329">
        <w:t xml:space="preserve"> as-is. </w:t>
      </w:r>
    </w:p>
    <w:p w14:paraId="50BA2EF7" w14:textId="58C73BDD" w:rsidR="00863E9C" w:rsidRPr="00381329" w:rsidRDefault="00863E9C" w:rsidP="000B749F">
      <w:pPr>
        <w:pStyle w:val="EX"/>
      </w:pPr>
      <w:r w:rsidRPr="00381329">
        <w:t>E</w:t>
      </w:r>
      <w:r w:rsidR="000B749F" w:rsidRPr="00381329">
        <w:t>XAMPLE</w:t>
      </w:r>
      <w:r w:rsidRPr="00381329">
        <w:t>:</w:t>
      </w:r>
      <w:r w:rsidR="000B749F" w:rsidRPr="00381329">
        <w:tab/>
      </w:r>
      <w:r w:rsidRPr="00381329">
        <w:t>The parties may agree that a discrepancy below 1</w:t>
      </w:r>
      <w:r w:rsidR="00A42E54" w:rsidRPr="00381329">
        <w:t xml:space="preserve"> </w:t>
      </w:r>
      <w:r w:rsidRPr="00381329">
        <w:t>% is ignored, in which case when the discrepancy is below 1</w:t>
      </w:r>
      <w:r w:rsidR="00A42E54" w:rsidRPr="00381329">
        <w:t xml:space="preserve"> </w:t>
      </w:r>
      <w:r w:rsidRPr="00381329">
        <w:t>% the Buyer will accept the invoice and not raise a dispute.</w:t>
      </w:r>
    </w:p>
    <w:p w14:paraId="1AAE752C" w14:textId="6AFECEA8" w:rsidR="00863E9C" w:rsidRPr="00381329" w:rsidRDefault="000B749F" w:rsidP="000B749F">
      <w:pPr>
        <w:pStyle w:val="EX"/>
      </w:pPr>
      <w:r w:rsidRPr="00381329">
        <w:rPr>
          <w:b/>
          <w:bCs/>
        </w:rPr>
        <w:t>[O1</w:t>
      </w:r>
      <w:r w:rsidR="00F8613E">
        <w:rPr>
          <w:b/>
          <w:bCs/>
        </w:rPr>
        <w:t>4</w:t>
      </w:r>
      <w:r w:rsidRPr="00381329">
        <w:rPr>
          <w:b/>
          <w:bCs/>
        </w:rPr>
        <w:t>]</w:t>
      </w:r>
      <w:r w:rsidRPr="00381329">
        <w:rPr>
          <w:b/>
          <w:bCs/>
        </w:rPr>
        <w:tab/>
      </w:r>
      <w:r w:rsidR="00863E9C" w:rsidRPr="00381329">
        <w:t xml:space="preserve">Thresholds </w:t>
      </w:r>
      <w:r w:rsidR="00863E9C" w:rsidRPr="001D748C">
        <w:rPr>
          <w:b/>
          <w:bCs/>
        </w:rPr>
        <w:t>MAY</w:t>
      </w:r>
      <w:r w:rsidR="00863E9C" w:rsidRPr="00381329">
        <w:t xml:space="preserve"> be combined. </w:t>
      </w:r>
    </w:p>
    <w:p w14:paraId="50BF98E8" w14:textId="58161B26" w:rsidR="00863E9C" w:rsidRPr="00381329" w:rsidRDefault="00863E9C" w:rsidP="00A42E54">
      <w:pPr>
        <w:pStyle w:val="EX"/>
      </w:pPr>
      <w:r w:rsidRPr="00381329">
        <w:t xml:space="preserve">EXAMPLE: </w:t>
      </w:r>
      <w:r w:rsidR="00A42E54" w:rsidRPr="00381329">
        <w:tab/>
      </w:r>
      <w:r w:rsidRPr="00381329">
        <w:t>The parties may agree that a discrepancy below 1</w:t>
      </w:r>
      <w:r w:rsidR="00A42E54" w:rsidRPr="00381329">
        <w:t xml:space="preserve"> </w:t>
      </w:r>
      <w:r w:rsidRPr="00381329">
        <w:t>% is ignored unless the total monetary value of the discrepancy is above</w:t>
      </w:r>
      <w:r w:rsidR="004664CE" w:rsidRPr="00381329">
        <w:t xml:space="preserve"> </w:t>
      </w:r>
      <w:r w:rsidRPr="001D748C">
        <w:t>USD</w:t>
      </w:r>
      <w:r>
        <w:t xml:space="preserve"> 500, in which case the Buyer may open a dispute even if the discrepancy (say </w:t>
      </w:r>
      <w:r w:rsidRPr="001D748C">
        <w:t>USD</w:t>
      </w:r>
      <w:r>
        <w:t xml:space="preserve"> 550 for the purpose of this example) is less than 1</w:t>
      </w:r>
      <w:r w:rsidR="00A42E54" w:rsidRPr="00381329">
        <w:t xml:space="preserve"> </w:t>
      </w:r>
      <w:r w:rsidR="004664CE" w:rsidRPr="00381329">
        <w:t>% of the invoice value.</w:t>
      </w:r>
      <w:r w:rsidRPr="00381329">
        <w:t xml:space="preserve"> </w:t>
      </w:r>
    </w:p>
    <w:p w14:paraId="57CE2A89" w14:textId="136FB235" w:rsidR="00CF79AE" w:rsidRPr="00381329" w:rsidRDefault="00930E85" w:rsidP="004664CE">
      <w:pPr>
        <w:pStyle w:val="Heading2"/>
      </w:pPr>
      <w:bookmarkStart w:id="152" w:name="_Toc160787021"/>
      <w:bookmarkStart w:id="153" w:name="_Toc161049389"/>
      <w:r w:rsidRPr="00381329">
        <w:t>9</w:t>
      </w:r>
      <w:r w:rsidR="00A83F00" w:rsidRPr="00381329">
        <w:t>.3</w:t>
      </w:r>
      <w:r w:rsidR="00A83F00" w:rsidRPr="00381329">
        <w:tab/>
      </w:r>
      <w:r w:rsidR="00CF79AE" w:rsidRPr="00381329">
        <w:t>Dispute Resolution</w:t>
      </w:r>
      <w:bookmarkEnd w:id="152"/>
      <w:bookmarkEnd w:id="153"/>
    </w:p>
    <w:p w14:paraId="1B42B598" w14:textId="1E2A7CB4" w:rsidR="00CF79AE" w:rsidRPr="00381329" w:rsidRDefault="00CF79AE" w:rsidP="00CF79AE">
      <w:r w:rsidRPr="00381329">
        <w:t>The reconciliation and dispute resolution processes may vary depending on agreement between each pair of Buyer and Seller. The methods and algorithms of resolving a dispute are beyond the scope of th</w:t>
      </w:r>
      <w:r w:rsidR="00381329" w:rsidRPr="00381329">
        <w:t>e present</w:t>
      </w:r>
      <w:r w:rsidRPr="00381329">
        <w:t xml:space="preserve"> document.</w:t>
      </w:r>
      <w:r w:rsidR="004664CE" w:rsidRPr="00381329">
        <w:t xml:space="preserve"> The examples presented herewith are for demonstrative purposes only.</w:t>
      </w:r>
    </w:p>
    <w:p w14:paraId="0C7022B9" w14:textId="08FFA43B" w:rsidR="004664CE" w:rsidRPr="00381329" w:rsidRDefault="00E33619" w:rsidP="00CF79AE">
      <w:r w:rsidRPr="00381329">
        <w:t>An e</w:t>
      </w:r>
      <w:r w:rsidR="004664CE" w:rsidRPr="00381329">
        <w:t>xample of dispute resolution logic:</w:t>
      </w:r>
    </w:p>
    <w:p w14:paraId="0C95824D" w14:textId="175B996A" w:rsidR="00374555" w:rsidRPr="00374555" w:rsidRDefault="004664CE" w:rsidP="006F07E5">
      <w:pPr>
        <w:pStyle w:val="B1"/>
        <w:rPr>
          <w:i/>
          <w:iCs/>
        </w:rPr>
      </w:pPr>
      <w:r w:rsidRPr="00374555">
        <w:rPr>
          <w:i/>
          <w:iCs/>
        </w:rPr>
        <w:t>If discrepancy is lower than 1</w:t>
      </w:r>
      <w:r w:rsidR="00A42E54" w:rsidRPr="00374555">
        <w:rPr>
          <w:i/>
          <w:iCs/>
        </w:rPr>
        <w:t xml:space="preserve"> </w:t>
      </w:r>
      <w:r w:rsidRPr="00374555">
        <w:rPr>
          <w:i/>
          <w:iCs/>
        </w:rPr>
        <w:t>% then no disput</w:t>
      </w:r>
      <w:r w:rsidR="00374555">
        <w:rPr>
          <w:i/>
          <w:iCs/>
        </w:rPr>
        <w:t>e</w:t>
      </w:r>
      <w:r w:rsidR="00374555" w:rsidRPr="00374555">
        <w:rPr>
          <w:i/>
          <w:iCs/>
        </w:rPr>
        <w:t>.</w:t>
      </w:r>
    </w:p>
    <w:p w14:paraId="58E1DAF7" w14:textId="2008CC62" w:rsidR="004664CE" w:rsidRPr="00374555" w:rsidRDefault="004664CE" w:rsidP="002768F9">
      <w:pPr>
        <w:pStyle w:val="B1"/>
        <w:rPr>
          <w:i/>
          <w:iCs/>
        </w:rPr>
      </w:pPr>
      <w:r w:rsidRPr="00374555">
        <w:rPr>
          <w:i/>
          <w:iCs/>
        </w:rPr>
        <w:t xml:space="preserve">If discrepancy is between 1 </w:t>
      </w:r>
      <w:r w:rsidR="00A42E54" w:rsidRPr="00374555">
        <w:rPr>
          <w:i/>
          <w:iCs/>
        </w:rPr>
        <w:t xml:space="preserve">% </w:t>
      </w:r>
      <w:r w:rsidRPr="00374555">
        <w:rPr>
          <w:i/>
          <w:iCs/>
        </w:rPr>
        <w:t xml:space="preserve">and 5 </w:t>
      </w:r>
      <w:r w:rsidR="00A42E54" w:rsidRPr="00374555">
        <w:rPr>
          <w:i/>
          <w:iCs/>
        </w:rPr>
        <w:t>%</w:t>
      </w:r>
      <w:r w:rsidR="00E33619" w:rsidRPr="00374555">
        <w:rPr>
          <w:i/>
          <w:iCs/>
        </w:rPr>
        <w:t>,</w:t>
      </w:r>
      <w:r w:rsidRPr="00374555">
        <w:rPr>
          <w:i/>
          <w:iCs/>
        </w:rPr>
        <w:t xml:space="preserve"> then take the arithmetic average between the values of Buyer and Seller.</w:t>
      </w:r>
    </w:p>
    <w:p w14:paraId="561DE000" w14:textId="4734997C" w:rsidR="004664CE" w:rsidRPr="00381329" w:rsidRDefault="004664CE" w:rsidP="00A42E54">
      <w:pPr>
        <w:pStyle w:val="B1"/>
        <w:rPr>
          <w:i/>
          <w:iCs/>
        </w:rPr>
      </w:pPr>
      <w:r w:rsidRPr="00381329">
        <w:rPr>
          <w:i/>
          <w:iCs/>
        </w:rPr>
        <w:t>If discrepancy is higher than 5</w:t>
      </w:r>
      <w:r w:rsidR="00A42E54" w:rsidRPr="00381329">
        <w:rPr>
          <w:i/>
          <w:iCs/>
        </w:rPr>
        <w:t xml:space="preserve"> </w:t>
      </w:r>
      <w:r w:rsidRPr="00381329">
        <w:rPr>
          <w:i/>
          <w:iCs/>
        </w:rPr>
        <w:t xml:space="preserve">% then defer to manual </w:t>
      </w:r>
      <w:r w:rsidR="00E33619" w:rsidRPr="00381329">
        <w:rPr>
          <w:i/>
          <w:iCs/>
        </w:rPr>
        <w:t>(case-by-case) dispute resolution.</w:t>
      </w:r>
    </w:p>
    <w:p w14:paraId="36B42304" w14:textId="77C267EB" w:rsidR="00E33619" w:rsidRPr="00381329" w:rsidRDefault="00E33619" w:rsidP="004664CE">
      <w:r w:rsidRPr="00381329">
        <w:t xml:space="preserve">Another example may be </w:t>
      </w:r>
      <w:proofErr w:type="gramStart"/>
      <w:r w:rsidRPr="00381329">
        <w:t>similar to</w:t>
      </w:r>
      <w:proofErr w:type="gramEnd"/>
      <w:r w:rsidRPr="00381329">
        <w:t xml:space="preserve"> the above with the exception that for the case of a discrepancy between 1-5 percent the settlement value is calculated using heuristics based on previous settlements in a manner that removes bias caused by one party consistently reporting values in its own favour.</w:t>
      </w:r>
    </w:p>
    <w:p w14:paraId="693D4A4E" w14:textId="7A16DCCB" w:rsidR="00CF79AE" w:rsidRPr="00381329" w:rsidRDefault="000B749F" w:rsidP="000B749F">
      <w:pPr>
        <w:pStyle w:val="EX"/>
      </w:pPr>
      <w:r w:rsidRPr="00381329">
        <w:rPr>
          <w:b/>
          <w:bCs/>
        </w:rPr>
        <w:t>[O</w:t>
      </w:r>
      <w:r w:rsidR="00F8613E">
        <w:rPr>
          <w:b/>
          <w:bCs/>
        </w:rPr>
        <w:t>15</w:t>
      </w:r>
      <w:r w:rsidRPr="00381329">
        <w:rPr>
          <w:b/>
          <w:bCs/>
        </w:rPr>
        <w:t>]</w:t>
      </w:r>
      <w:r w:rsidRPr="00381329">
        <w:rPr>
          <w:b/>
          <w:bCs/>
        </w:rPr>
        <w:tab/>
      </w:r>
      <w:r w:rsidR="00CF79AE" w:rsidRPr="00381329">
        <w:t xml:space="preserve">Subject to contract the parties </w:t>
      </w:r>
      <w:r w:rsidR="00CF79AE" w:rsidRPr="001D748C">
        <w:rPr>
          <w:b/>
          <w:bCs/>
        </w:rPr>
        <w:t>MAY</w:t>
      </w:r>
      <w:r w:rsidR="00CF79AE" w:rsidRPr="00381329">
        <w:t xml:space="preserve"> agree to perform partial reconciliation and settle some of the pending invoice/invoices while continuing reconciliation of others. </w:t>
      </w:r>
    </w:p>
    <w:p w14:paraId="6F58741D" w14:textId="4CBB181F" w:rsidR="00CF79AE" w:rsidRPr="00381329" w:rsidRDefault="00A42E54" w:rsidP="00A42E54">
      <w:pPr>
        <w:pStyle w:val="EX"/>
      </w:pPr>
      <w:r w:rsidRPr="00381329">
        <w:rPr>
          <w:b/>
          <w:bCs/>
        </w:rPr>
        <w:t>[D12]</w:t>
      </w:r>
      <w:r w:rsidRPr="00381329">
        <w:rPr>
          <w:b/>
          <w:bCs/>
        </w:rPr>
        <w:tab/>
      </w:r>
      <w:r w:rsidR="00CF79AE" w:rsidRPr="00381329">
        <w:t>Dispute thresholds</w:t>
      </w:r>
      <w:r w:rsidR="00E33619" w:rsidRPr="00381329">
        <w:t xml:space="preserve"> and resolution</w:t>
      </w:r>
      <w:r w:rsidR="00CF79AE" w:rsidRPr="00381329">
        <w:t xml:space="preserve"> </w:t>
      </w:r>
      <w:r w:rsidR="00CF79AE" w:rsidRPr="001D748C">
        <w:rPr>
          <w:b/>
          <w:bCs/>
        </w:rPr>
        <w:t>SHOULD</w:t>
      </w:r>
      <w:r w:rsidR="00CF79AE" w:rsidRPr="00381329">
        <w:t xml:space="preserve"> be implemented by a </w:t>
      </w:r>
      <w:r w:rsidR="00E33619" w:rsidRPr="00381329">
        <w:t>smart contract where applicable.</w:t>
      </w:r>
    </w:p>
    <w:p w14:paraId="2F6B7E50" w14:textId="2DBCA652" w:rsidR="00CF79AE" w:rsidRPr="00381329" w:rsidRDefault="000B749F" w:rsidP="000B749F">
      <w:pPr>
        <w:pStyle w:val="EX"/>
      </w:pPr>
      <w:r w:rsidRPr="00381329">
        <w:rPr>
          <w:b/>
          <w:bCs/>
        </w:rPr>
        <w:t>[R21]</w:t>
      </w:r>
      <w:r w:rsidRPr="00381329">
        <w:rPr>
          <w:b/>
          <w:bCs/>
        </w:rPr>
        <w:tab/>
      </w:r>
      <w:r w:rsidR="00CF79AE" w:rsidRPr="00381329">
        <w:t xml:space="preserve">If a dispute is triggered by </w:t>
      </w:r>
      <w:r w:rsidR="00E33619" w:rsidRPr="00381329">
        <w:t xml:space="preserve">Buyer or a Seller, it </w:t>
      </w:r>
      <w:r w:rsidR="00E33619" w:rsidRPr="001D748C">
        <w:rPr>
          <w:b/>
          <w:bCs/>
        </w:rPr>
        <w:t>SHALL</w:t>
      </w:r>
      <w:r w:rsidR="00CF79AE" w:rsidRPr="00381329">
        <w:t xml:space="preserve"> be resolved either (a) manually, (b)</w:t>
      </w:r>
      <w:r w:rsidR="00403A45">
        <w:t> </w:t>
      </w:r>
      <w:r w:rsidR="00CF79AE" w:rsidRPr="00381329">
        <w:t>automatically or (c) through a mix of both.</w:t>
      </w:r>
    </w:p>
    <w:p w14:paraId="49D98D9E" w14:textId="3E07CED6" w:rsidR="00CF79AE" w:rsidRPr="00381329" w:rsidRDefault="00930E85" w:rsidP="00A83F00">
      <w:pPr>
        <w:pStyle w:val="Heading2"/>
      </w:pPr>
      <w:bookmarkStart w:id="154" w:name="_Toc160787022"/>
      <w:bookmarkStart w:id="155" w:name="_Toc161049390"/>
      <w:r w:rsidRPr="00381329">
        <w:lastRenderedPageBreak/>
        <w:t>9</w:t>
      </w:r>
      <w:r w:rsidR="00A83F00" w:rsidRPr="00381329">
        <w:t>.4</w:t>
      </w:r>
      <w:r w:rsidR="00A83F00" w:rsidRPr="00381329">
        <w:tab/>
      </w:r>
      <w:r w:rsidR="00CF79AE" w:rsidRPr="00381329">
        <w:t>Finality</w:t>
      </w:r>
      <w:bookmarkEnd w:id="154"/>
      <w:bookmarkEnd w:id="155"/>
    </w:p>
    <w:p w14:paraId="3A1AB5F9" w14:textId="77777777" w:rsidR="00CF79AE" w:rsidRPr="00381329" w:rsidRDefault="00CF79AE" w:rsidP="00A42E54">
      <w:proofErr w:type="gramStart"/>
      <w:r w:rsidRPr="00381329">
        <w:t>The end result</w:t>
      </w:r>
      <w:proofErr w:type="gramEnd"/>
      <w:r w:rsidRPr="00381329">
        <w:t xml:space="preserve"> of the reconciliation process is final and binding to both parties.</w:t>
      </w:r>
    </w:p>
    <w:p w14:paraId="2DC3E78D" w14:textId="5952113B" w:rsidR="00CF79AE" w:rsidRPr="00381329" w:rsidRDefault="000B749F" w:rsidP="000B749F">
      <w:pPr>
        <w:pStyle w:val="EX"/>
      </w:pPr>
      <w:r w:rsidRPr="00381329">
        <w:rPr>
          <w:b/>
          <w:bCs/>
        </w:rPr>
        <w:t>[R22]</w:t>
      </w:r>
      <w:r w:rsidRPr="00381329">
        <w:rPr>
          <w:b/>
          <w:bCs/>
        </w:rPr>
        <w:tab/>
      </w:r>
      <w:r w:rsidR="00CF79AE" w:rsidRPr="00381329">
        <w:t xml:space="preserve">Upon completion of the Reconciliation process, a final and binding mutually-agreed-upon </w:t>
      </w:r>
      <w:r w:rsidR="00E33619" w:rsidRPr="00381329">
        <w:t>amount</w:t>
      </w:r>
      <w:r w:rsidR="00CF79AE" w:rsidRPr="00381329">
        <w:t xml:space="preserve"> </w:t>
      </w:r>
      <w:r w:rsidR="00E33619" w:rsidRPr="001D748C">
        <w:rPr>
          <w:b/>
          <w:bCs/>
        </w:rPr>
        <w:t>SHALL</w:t>
      </w:r>
      <w:r w:rsidR="00CF79AE" w:rsidRPr="00381329">
        <w:t xml:space="preserve"> be </w:t>
      </w:r>
      <w:r w:rsidR="00B4493E" w:rsidRPr="00381329">
        <w:t>settled between the Buyer and the Seller.</w:t>
      </w:r>
    </w:p>
    <w:p w14:paraId="68AAFEB5" w14:textId="13EA1443" w:rsidR="00B4493E" w:rsidRPr="00381329" w:rsidRDefault="000B749F" w:rsidP="000B749F">
      <w:pPr>
        <w:pStyle w:val="EX"/>
      </w:pPr>
      <w:r w:rsidRPr="00381329">
        <w:rPr>
          <w:b/>
          <w:bCs/>
        </w:rPr>
        <w:t>[R23]</w:t>
      </w:r>
      <w:r w:rsidRPr="00381329">
        <w:rPr>
          <w:b/>
          <w:bCs/>
        </w:rPr>
        <w:tab/>
      </w:r>
      <w:r w:rsidR="00B4493E" w:rsidRPr="00381329">
        <w:t xml:space="preserve">If an invoice has already been issued and it differs from the final amount agreed by the parties, a credit </w:t>
      </w:r>
      <w:proofErr w:type="gramStart"/>
      <w:r w:rsidR="00B4493E" w:rsidRPr="00381329">
        <w:t>note</w:t>
      </w:r>
      <w:proofErr w:type="gramEnd"/>
      <w:r w:rsidR="00B4493E" w:rsidRPr="00381329">
        <w:t xml:space="preserve"> or a debit note </w:t>
      </w:r>
      <w:r w:rsidR="00B4493E" w:rsidRPr="001D748C">
        <w:rPr>
          <w:b/>
          <w:bCs/>
        </w:rPr>
        <w:t>SHALL</w:t>
      </w:r>
      <w:r w:rsidR="00B4493E" w:rsidRPr="00381329">
        <w:t xml:space="preserve"> be issued by the Seller to cover any differences.</w:t>
      </w:r>
    </w:p>
    <w:p w14:paraId="0B65E60D" w14:textId="54D5BEED" w:rsidR="00A83F00" w:rsidRPr="00381329" w:rsidRDefault="000B749F" w:rsidP="000B749F">
      <w:pPr>
        <w:pStyle w:val="EX"/>
      </w:pPr>
      <w:r w:rsidRPr="00381329">
        <w:rPr>
          <w:b/>
          <w:bCs/>
        </w:rPr>
        <w:t>[R24]</w:t>
      </w:r>
      <w:r w:rsidRPr="00381329">
        <w:rPr>
          <w:b/>
          <w:bCs/>
        </w:rPr>
        <w:tab/>
      </w:r>
      <w:r w:rsidR="00B4493E" w:rsidRPr="00381329">
        <w:t xml:space="preserve">In a </w:t>
      </w:r>
      <w:r w:rsidRPr="001D748C">
        <w:t>PDL</w:t>
      </w:r>
      <w:r>
        <w:t xml:space="preserve"> enabled environment the final invoice and any credit and debit notes </w:t>
      </w:r>
      <w:r w:rsidR="00B4493E" w:rsidRPr="001D748C">
        <w:rPr>
          <w:b/>
          <w:bCs/>
        </w:rPr>
        <w:t>SHALL</w:t>
      </w:r>
      <w:r w:rsidR="00B4493E" w:rsidRPr="00381329">
        <w:t xml:space="preserve"> be recorded on to the </w:t>
      </w:r>
      <w:r w:rsidRPr="001D748C">
        <w:t>PDL</w:t>
      </w:r>
      <w:r>
        <w:t>.</w:t>
      </w:r>
    </w:p>
    <w:p w14:paraId="1AFB21B3" w14:textId="6A9067BC" w:rsidR="00CF79AE" w:rsidRPr="00381329" w:rsidRDefault="00930E85" w:rsidP="00A42E54">
      <w:pPr>
        <w:pStyle w:val="Heading1"/>
      </w:pPr>
      <w:bookmarkStart w:id="156" w:name="_Ref158622541"/>
      <w:bookmarkStart w:id="157" w:name="_Toc160787023"/>
      <w:bookmarkStart w:id="158" w:name="_Toc161049391"/>
      <w:r w:rsidRPr="00381329">
        <w:t>10</w:t>
      </w:r>
      <w:r w:rsidR="00A83F00" w:rsidRPr="00381329">
        <w:tab/>
      </w:r>
      <w:r w:rsidR="00CF79AE" w:rsidRPr="00381329">
        <w:t>Settlement</w:t>
      </w:r>
      <w:bookmarkEnd w:id="156"/>
      <w:bookmarkEnd w:id="157"/>
      <w:bookmarkEnd w:id="158"/>
    </w:p>
    <w:p w14:paraId="6461592C" w14:textId="5C0BFF8F" w:rsidR="00A83F00" w:rsidRPr="00381329" w:rsidRDefault="00930E85" w:rsidP="00A83F00">
      <w:pPr>
        <w:pStyle w:val="Heading2"/>
      </w:pPr>
      <w:bookmarkStart w:id="159" w:name="_Toc160787024"/>
      <w:bookmarkStart w:id="160" w:name="_Toc161049392"/>
      <w:r w:rsidRPr="00381329">
        <w:t>10</w:t>
      </w:r>
      <w:r w:rsidR="00A83F00" w:rsidRPr="00381329">
        <w:t>.1</w:t>
      </w:r>
      <w:r w:rsidR="00A83F00" w:rsidRPr="00381329">
        <w:tab/>
        <w:t>Definition of Settlement</w:t>
      </w:r>
      <w:bookmarkEnd w:id="159"/>
      <w:bookmarkEnd w:id="160"/>
    </w:p>
    <w:p w14:paraId="2F48926A" w14:textId="72593C0B" w:rsidR="00CF79AE" w:rsidRPr="00381329" w:rsidRDefault="00CF79AE" w:rsidP="00CF79AE">
      <w:r w:rsidRPr="00381329">
        <w:t>Settlement is the transfer of monetary funds between parties based on invoicing and reconciliation.</w:t>
      </w:r>
    </w:p>
    <w:p w14:paraId="59D55A66" w14:textId="60D6F49E" w:rsidR="00CF79AE" w:rsidRPr="00381329" w:rsidRDefault="00930E85" w:rsidP="00B4493E">
      <w:pPr>
        <w:pStyle w:val="Heading2"/>
      </w:pPr>
      <w:bookmarkStart w:id="161" w:name="_Toc160787025"/>
      <w:bookmarkStart w:id="162" w:name="_Toc161049393"/>
      <w:r w:rsidRPr="00381329">
        <w:t>10</w:t>
      </w:r>
      <w:r w:rsidR="00A83F00" w:rsidRPr="00381329">
        <w:t>.2</w:t>
      </w:r>
      <w:r w:rsidR="00A83F00" w:rsidRPr="00381329">
        <w:tab/>
      </w:r>
      <w:r w:rsidR="00CF79AE" w:rsidRPr="00381329">
        <w:t>Payment</w:t>
      </w:r>
      <w:bookmarkEnd w:id="161"/>
      <w:bookmarkEnd w:id="162"/>
    </w:p>
    <w:p w14:paraId="68F9ED78" w14:textId="3E5EBADE" w:rsidR="00CF79AE" w:rsidRPr="00381329" w:rsidRDefault="00CF79AE" w:rsidP="00CF79AE">
      <w:r w:rsidRPr="00381329">
        <w:t xml:space="preserve">Upon completion of reconciliation </w:t>
      </w:r>
      <w:r w:rsidR="00B4493E" w:rsidRPr="00381329">
        <w:t xml:space="preserve">and issuing a final invoice and/or any credit/debit notes </w:t>
      </w:r>
      <w:r w:rsidRPr="00381329">
        <w:t xml:space="preserve">the parties settle through payment of the agreed upon amount between the parties. </w:t>
      </w:r>
    </w:p>
    <w:p w14:paraId="5717FC71" w14:textId="55C21601" w:rsidR="00CF79AE" w:rsidRPr="00381329" w:rsidRDefault="000B749F" w:rsidP="000B749F">
      <w:pPr>
        <w:pStyle w:val="EX"/>
      </w:pPr>
      <w:r w:rsidRPr="00381329">
        <w:rPr>
          <w:b/>
          <w:bCs/>
        </w:rPr>
        <w:t>[R25]</w:t>
      </w:r>
      <w:r w:rsidRPr="00381329">
        <w:rPr>
          <w:b/>
          <w:bCs/>
        </w:rPr>
        <w:tab/>
      </w:r>
      <w:r w:rsidR="00CF79AE" w:rsidRPr="00381329">
        <w:t xml:space="preserve">The payment </w:t>
      </w:r>
      <w:r w:rsidR="00B4493E" w:rsidRPr="001D748C">
        <w:rPr>
          <w:b/>
          <w:bCs/>
        </w:rPr>
        <w:t>SHALL</w:t>
      </w:r>
      <w:r w:rsidR="00CF79AE" w:rsidRPr="00381329">
        <w:t xml:space="preserve"> take form of one of the following: (a) transfer of a fiat currency</w:t>
      </w:r>
      <w:r w:rsidR="00B4493E" w:rsidRPr="00381329">
        <w:t xml:space="preserve"> through legacy means (bank transfer, cheque), (b) an electronic transaction of a </w:t>
      </w:r>
      <w:proofErr w:type="spellStart"/>
      <w:r w:rsidR="00B4493E" w:rsidRPr="00381329">
        <w:t>stablecoin</w:t>
      </w:r>
      <w:proofErr w:type="spellEnd"/>
      <w:r w:rsidR="00B4493E" w:rsidRPr="00381329">
        <w:t xml:space="preserve"> (a crypto-currency whose value is pegged to a fiat currency) or (c) a crypto-currency transaction. </w:t>
      </w:r>
    </w:p>
    <w:p w14:paraId="4E3C71D0" w14:textId="418577AB" w:rsidR="00CF79AE" w:rsidRPr="00381329" w:rsidRDefault="000B749F" w:rsidP="000B749F">
      <w:pPr>
        <w:pStyle w:val="EX"/>
      </w:pPr>
      <w:r w:rsidRPr="00381329">
        <w:rPr>
          <w:b/>
          <w:bCs/>
        </w:rPr>
        <w:t>[R26]</w:t>
      </w:r>
      <w:r w:rsidRPr="00381329">
        <w:rPr>
          <w:b/>
          <w:bCs/>
        </w:rPr>
        <w:tab/>
      </w:r>
      <w:r w:rsidR="00CF79AE" w:rsidRPr="00381329">
        <w:t xml:space="preserve">The form of payment </w:t>
      </w:r>
      <w:r w:rsidR="00885651" w:rsidRPr="00381329">
        <w:t xml:space="preserve">and the currency/currencies used for payment </w:t>
      </w:r>
      <w:r w:rsidR="00B4493E" w:rsidRPr="001D748C">
        <w:rPr>
          <w:b/>
          <w:bCs/>
        </w:rPr>
        <w:t>SHALL</w:t>
      </w:r>
      <w:r w:rsidR="00CF79AE" w:rsidRPr="00381329">
        <w:t xml:space="preserve"> be agreed upon by both parties in the contract.</w:t>
      </w:r>
    </w:p>
    <w:p w14:paraId="7FE70E94" w14:textId="5C8A0E56" w:rsidR="00CF79AE" w:rsidRPr="00381329" w:rsidRDefault="000B749F" w:rsidP="000B749F">
      <w:pPr>
        <w:pStyle w:val="EX"/>
      </w:pPr>
      <w:r w:rsidRPr="00381329">
        <w:rPr>
          <w:b/>
          <w:bCs/>
        </w:rPr>
        <w:t>[R27]</w:t>
      </w:r>
      <w:r w:rsidRPr="00381329">
        <w:rPr>
          <w:b/>
          <w:bCs/>
        </w:rPr>
        <w:tab/>
      </w:r>
      <w:r w:rsidR="00CF79AE" w:rsidRPr="00381329">
        <w:t xml:space="preserve">Payment </w:t>
      </w:r>
      <w:r w:rsidR="00B4493E" w:rsidRPr="001D748C">
        <w:rPr>
          <w:b/>
          <w:bCs/>
        </w:rPr>
        <w:t>SHALL</w:t>
      </w:r>
      <w:r w:rsidR="00CF79AE" w:rsidRPr="00381329">
        <w:t xml:space="preserve"> be made in accordance </w:t>
      </w:r>
      <w:proofErr w:type="gramStart"/>
      <w:r w:rsidR="00CF79AE" w:rsidRPr="00381329">
        <w:t>to</w:t>
      </w:r>
      <w:proofErr w:type="gramEnd"/>
      <w:r w:rsidR="00CF79AE" w:rsidRPr="00381329">
        <w:t xml:space="preserve"> the terms stipulated in the agreement. </w:t>
      </w:r>
    </w:p>
    <w:p w14:paraId="5E2731AF" w14:textId="4C99E9D2" w:rsidR="00CF79AE" w:rsidRPr="00381329" w:rsidRDefault="000B749F" w:rsidP="000B749F">
      <w:pPr>
        <w:pStyle w:val="EX"/>
      </w:pPr>
      <w:r w:rsidRPr="00381329">
        <w:rPr>
          <w:b/>
          <w:bCs/>
        </w:rPr>
        <w:t>[R28]</w:t>
      </w:r>
      <w:r w:rsidRPr="00381329">
        <w:rPr>
          <w:b/>
          <w:bCs/>
        </w:rPr>
        <w:tab/>
      </w:r>
      <w:r w:rsidR="00B4493E" w:rsidRPr="00381329">
        <w:t xml:space="preserve">Payment </w:t>
      </w:r>
      <w:r w:rsidR="00B4493E" w:rsidRPr="001D748C">
        <w:rPr>
          <w:b/>
          <w:bCs/>
        </w:rPr>
        <w:t>SHALL</w:t>
      </w:r>
      <w:r w:rsidR="00B4493E" w:rsidRPr="00381329">
        <w:t xml:space="preserve"> comply with all regulatory requirements by the jurisdiction(s) where the Buyer and the Seller</w:t>
      </w:r>
      <w:r w:rsidR="00F538EE" w:rsidRPr="00381329">
        <w:t xml:space="preserve"> are established.</w:t>
      </w:r>
    </w:p>
    <w:p w14:paraId="32C4F524" w14:textId="5CA7A230" w:rsidR="00CF79AE" w:rsidRPr="00381329" w:rsidRDefault="00930E85" w:rsidP="00F538EE">
      <w:pPr>
        <w:pStyle w:val="Heading2"/>
      </w:pPr>
      <w:bookmarkStart w:id="163" w:name="_Toc160787026"/>
      <w:bookmarkStart w:id="164" w:name="_Toc161049394"/>
      <w:r w:rsidRPr="00381329">
        <w:t>10</w:t>
      </w:r>
      <w:r w:rsidR="00A83F00" w:rsidRPr="00381329">
        <w:t>.3</w:t>
      </w:r>
      <w:r w:rsidR="00A83F00" w:rsidRPr="00381329">
        <w:tab/>
      </w:r>
      <w:r w:rsidR="00CF79AE" w:rsidRPr="00381329">
        <w:t>Netting</w:t>
      </w:r>
      <w:bookmarkEnd w:id="163"/>
      <w:bookmarkEnd w:id="164"/>
      <w:r w:rsidR="00CF79AE" w:rsidRPr="00381329">
        <w:t xml:space="preserve"> </w:t>
      </w:r>
    </w:p>
    <w:p w14:paraId="48FD47DC" w14:textId="083AB6DA" w:rsidR="00CF79AE" w:rsidRPr="00381329" w:rsidRDefault="00CF79AE" w:rsidP="00CF79AE">
      <w:r w:rsidRPr="00381329">
        <w:t xml:space="preserve">Netting is the act of subtracting the amounts due by two parties to each other. </w:t>
      </w:r>
      <w:r w:rsidR="00885651" w:rsidRPr="00381329">
        <w:t>If</w:t>
      </w:r>
      <w:r w:rsidRPr="00381329">
        <w:t xml:space="preserve"> the parties have reciprocal services (both buy and sell with each other) the settlement may include netting of pending amounts where the actual amounts being transferred will be the net amount. In such event the pending amount of one </w:t>
      </w:r>
      <w:r w:rsidR="00F538EE" w:rsidRPr="00381329">
        <w:t>party</w:t>
      </w:r>
      <w:r w:rsidRPr="00381329">
        <w:t xml:space="preserve"> is subtracted from the pending amount of the </w:t>
      </w:r>
      <w:r w:rsidR="00F538EE" w:rsidRPr="00381329">
        <w:t>other party</w:t>
      </w:r>
      <w:r w:rsidRPr="00381329">
        <w:t xml:space="preserve"> and </w:t>
      </w:r>
      <w:r w:rsidR="00F538EE" w:rsidRPr="00381329">
        <w:t xml:space="preserve">only </w:t>
      </w:r>
      <w:r w:rsidRPr="00381329">
        <w:t xml:space="preserve">the net amount, after such subtraction, is being transferred from one </w:t>
      </w:r>
      <w:r w:rsidR="00F538EE" w:rsidRPr="00381329">
        <w:t>party</w:t>
      </w:r>
      <w:r w:rsidRPr="00381329">
        <w:t xml:space="preserve"> to the other.</w:t>
      </w:r>
    </w:p>
    <w:p w14:paraId="2D5948AF" w14:textId="02286F32" w:rsidR="00CF79AE" w:rsidRPr="00381329" w:rsidRDefault="00CF79AE" w:rsidP="00F538EE">
      <w:pPr>
        <w:ind w:left="284"/>
        <w:rPr>
          <w:i/>
          <w:iCs/>
        </w:rPr>
      </w:pPr>
      <w:r w:rsidRPr="00381329">
        <w:rPr>
          <w:i/>
          <w:iCs/>
        </w:rPr>
        <w:t xml:space="preserve">Net Amount = (amount owed by A to B) </w:t>
      </w:r>
      <w:r w:rsidR="000B749F" w:rsidRPr="00381329">
        <w:rPr>
          <w:i/>
          <w:iCs/>
        </w:rPr>
        <w:t>-</w:t>
      </w:r>
      <w:r w:rsidRPr="00381329">
        <w:rPr>
          <w:i/>
          <w:iCs/>
        </w:rPr>
        <w:t xml:space="preserve"> (amount owed by B to A)</w:t>
      </w:r>
    </w:p>
    <w:p w14:paraId="554637AA" w14:textId="00B567B5" w:rsidR="00CF79AE" w:rsidRPr="00381329" w:rsidRDefault="00CF79AE" w:rsidP="00F538EE">
      <w:pPr>
        <w:ind w:left="284"/>
        <w:rPr>
          <w:i/>
          <w:iCs/>
        </w:rPr>
      </w:pPr>
      <w:r w:rsidRPr="00381329">
        <w:rPr>
          <w:i/>
          <w:iCs/>
        </w:rPr>
        <w:t>If (amount owed by A to B) &gt; (amount owed by B to A) A pays</w:t>
      </w:r>
      <w:r w:rsidR="00F538EE" w:rsidRPr="00381329">
        <w:rPr>
          <w:i/>
          <w:iCs/>
        </w:rPr>
        <w:t xml:space="preserve"> Net Amount</w:t>
      </w:r>
      <w:r w:rsidRPr="00381329">
        <w:rPr>
          <w:i/>
          <w:iCs/>
        </w:rPr>
        <w:t xml:space="preserve"> to B, otherwise B pays</w:t>
      </w:r>
      <w:r w:rsidR="00F538EE" w:rsidRPr="00381329">
        <w:rPr>
          <w:i/>
          <w:iCs/>
        </w:rPr>
        <w:t xml:space="preserve"> Net Amount</w:t>
      </w:r>
      <w:r w:rsidRPr="00381329">
        <w:rPr>
          <w:i/>
          <w:iCs/>
        </w:rPr>
        <w:t xml:space="preserve"> to A.</w:t>
      </w:r>
    </w:p>
    <w:p w14:paraId="01D269A6" w14:textId="201A3270" w:rsidR="00CF79AE" w:rsidRPr="00381329" w:rsidRDefault="000B749F" w:rsidP="000B749F">
      <w:pPr>
        <w:pStyle w:val="EX"/>
      </w:pPr>
      <w:bookmarkStart w:id="165" w:name="_Ref40186648"/>
      <w:r w:rsidRPr="00381329">
        <w:rPr>
          <w:b/>
          <w:bCs/>
        </w:rPr>
        <w:t>[O</w:t>
      </w:r>
      <w:r w:rsidR="00F8613E">
        <w:rPr>
          <w:b/>
          <w:bCs/>
        </w:rPr>
        <w:t>16</w:t>
      </w:r>
      <w:r w:rsidRPr="00381329">
        <w:rPr>
          <w:b/>
          <w:bCs/>
        </w:rPr>
        <w:t>]</w:t>
      </w:r>
      <w:r w:rsidRPr="00381329">
        <w:rPr>
          <w:b/>
          <w:bCs/>
        </w:rPr>
        <w:tab/>
      </w:r>
      <w:r w:rsidR="00CF79AE" w:rsidRPr="00381329">
        <w:t xml:space="preserve">If two </w:t>
      </w:r>
      <w:r w:rsidR="00381329" w:rsidRPr="00381329">
        <w:t>parties</w:t>
      </w:r>
      <w:r w:rsidR="00CF79AE" w:rsidRPr="00381329">
        <w:t xml:space="preserve"> have a </w:t>
      </w:r>
      <w:r w:rsidR="00F538EE" w:rsidRPr="00381329">
        <w:t xml:space="preserve">reciprocal </w:t>
      </w:r>
      <w:r w:rsidR="00381329" w:rsidRPr="00381329">
        <w:t>trade,</w:t>
      </w:r>
      <w:r w:rsidR="00CF79AE" w:rsidRPr="00381329">
        <w:t xml:space="preserve"> they </w:t>
      </w:r>
      <w:r w:rsidR="00CF79AE" w:rsidRPr="001D748C">
        <w:rPr>
          <w:b/>
          <w:bCs/>
        </w:rPr>
        <w:t>MAY</w:t>
      </w:r>
      <w:r w:rsidR="00CF79AE" w:rsidRPr="00381329">
        <w:t xml:space="preserve"> net their invoices as part of the settlement process.</w:t>
      </w:r>
      <w:bookmarkEnd w:id="165"/>
    </w:p>
    <w:p w14:paraId="021E5315" w14:textId="4FBF1DD2" w:rsidR="00A83F00" w:rsidRPr="00BD593F" w:rsidRDefault="00BD593F" w:rsidP="00A83F00">
      <w:pPr>
        <w:pStyle w:val="ConditionalOptionalRequirement"/>
        <w:rPr>
          <w:rFonts w:asciiTheme="majorBidi" w:hAnsiTheme="majorBidi" w:cstheme="majorBidi"/>
        </w:rPr>
      </w:pPr>
      <w:r w:rsidRPr="00BD593F">
        <w:rPr>
          <w:b/>
          <w:bCs/>
        </w:rPr>
        <w:t>[O16]</w:t>
      </w:r>
      <w:r w:rsidR="00CF79AE" w:rsidRPr="00BD593F">
        <w:rPr>
          <w:rFonts w:asciiTheme="majorBidi" w:hAnsiTheme="majorBidi" w:cstheme="majorBidi"/>
        </w:rPr>
        <w:t xml:space="preserve"> </w:t>
      </w:r>
      <w:r w:rsidR="00F538EE" w:rsidRPr="00BD593F">
        <w:rPr>
          <w:rFonts w:asciiTheme="majorBidi" w:hAnsiTheme="majorBidi"/>
        </w:rPr>
        <w:t xml:space="preserve">In a </w:t>
      </w:r>
      <w:r w:rsidR="00CF79AE" w:rsidRPr="001D748C">
        <w:rPr>
          <w:rFonts w:asciiTheme="majorBidi" w:hAnsiTheme="majorBidi"/>
        </w:rPr>
        <w:t>PDL</w:t>
      </w:r>
      <w:r w:rsidR="00CF79AE" w:rsidRPr="00BD593F">
        <w:rPr>
          <w:rFonts w:asciiTheme="majorBidi" w:hAnsiTheme="majorBidi"/>
        </w:rPr>
        <w:t xml:space="preserve"> enabled environment the Netting </w:t>
      </w:r>
      <w:r w:rsidR="00F538EE" w:rsidRPr="001D748C">
        <w:rPr>
          <w:rFonts w:asciiTheme="majorBidi" w:hAnsiTheme="majorBidi" w:cstheme="majorBidi"/>
          <w:b/>
          <w:bCs/>
        </w:rPr>
        <w:t>SHOULD</w:t>
      </w:r>
      <w:r w:rsidR="00CF79AE" w:rsidRPr="00BD593F">
        <w:rPr>
          <w:rFonts w:asciiTheme="majorBidi" w:hAnsiTheme="majorBidi" w:cstheme="majorBidi"/>
        </w:rPr>
        <w:t xml:space="preserve"> be recorded in </w:t>
      </w:r>
      <w:r w:rsidR="00F538EE" w:rsidRPr="00BD593F">
        <w:rPr>
          <w:rFonts w:asciiTheme="majorBidi" w:hAnsiTheme="majorBidi"/>
        </w:rPr>
        <w:t xml:space="preserve">a </w:t>
      </w:r>
      <w:r w:rsidR="00CF79AE" w:rsidRPr="001D748C">
        <w:rPr>
          <w:rFonts w:asciiTheme="majorBidi" w:hAnsiTheme="majorBidi"/>
        </w:rPr>
        <w:t>PDL</w:t>
      </w:r>
      <w:r w:rsidR="00CF79AE" w:rsidRPr="00BD593F">
        <w:rPr>
          <w:rFonts w:asciiTheme="majorBidi" w:hAnsiTheme="majorBidi"/>
        </w:rPr>
        <w:t xml:space="preserve"> where applicable.</w:t>
      </w:r>
    </w:p>
    <w:p w14:paraId="2A6D8A89" w14:textId="1B046633" w:rsidR="00CF79AE" w:rsidRPr="00381329" w:rsidRDefault="00930E85" w:rsidP="00A83F00">
      <w:pPr>
        <w:pStyle w:val="Heading2"/>
      </w:pPr>
      <w:bookmarkStart w:id="166" w:name="_Toc160787027"/>
      <w:bookmarkStart w:id="167" w:name="_Toc161049395"/>
      <w:r w:rsidRPr="00381329">
        <w:t>10</w:t>
      </w:r>
      <w:r w:rsidR="00A83F00" w:rsidRPr="00381329">
        <w:t>.4</w:t>
      </w:r>
      <w:r w:rsidR="00A83F00" w:rsidRPr="00381329">
        <w:tab/>
      </w:r>
      <w:r w:rsidR="00CF79AE" w:rsidRPr="00381329">
        <w:t>Netting and Payment process diagram</w:t>
      </w:r>
      <w:bookmarkEnd w:id="166"/>
      <w:bookmarkEnd w:id="167"/>
    </w:p>
    <w:p w14:paraId="47687CC9" w14:textId="29D7DBE3" w:rsidR="00CF79AE" w:rsidRPr="00381329" w:rsidRDefault="00381329" w:rsidP="00A42E54">
      <w:r>
        <w:t xml:space="preserve">Figure </w:t>
      </w:r>
      <w:r w:rsidRPr="001D748C">
        <w:t>3</w:t>
      </w:r>
      <w:r>
        <w:t xml:space="preserve"> </w:t>
      </w:r>
      <w:r w:rsidR="00CF79AE" w:rsidRPr="00381329">
        <w:t>illustrates the Netting and Payment process flow.</w:t>
      </w:r>
    </w:p>
    <w:p w14:paraId="0E87FE7E" w14:textId="77777777" w:rsidR="00CF79AE" w:rsidRPr="00381329" w:rsidRDefault="00CF79AE" w:rsidP="00A42E54">
      <w:pPr>
        <w:pStyle w:val="FL"/>
      </w:pPr>
      <w:r w:rsidRPr="00381329">
        <w:rPr>
          <w:noProof/>
        </w:rPr>
        <w:lastRenderedPageBreak/>
        <w:drawing>
          <wp:inline distT="0" distB="0" distL="0" distR="0" wp14:anchorId="56BD45B6" wp14:editId="36282BA3">
            <wp:extent cx="5943600" cy="2454910"/>
            <wp:effectExtent l="0" t="0" r="0" b="0"/>
            <wp:docPr id="43" name="Picture 4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ayment 20200326s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2454910"/>
                    </a:xfrm>
                    <a:prstGeom prst="rect">
                      <a:avLst/>
                    </a:prstGeom>
                  </pic:spPr>
                </pic:pic>
              </a:graphicData>
            </a:graphic>
          </wp:inline>
        </w:drawing>
      </w:r>
    </w:p>
    <w:p w14:paraId="4FAB8CC5" w14:textId="225E6B98" w:rsidR="00A83F00" w:rsidRPr="00381329" w:rsidRDefault="00CF79AE" w:rsidP="00A42E54">
      <w:pPr>
        <w:pStyle w:val="TF"/>
      </w:pPr>
      <w:bookmarkStart w:id="168" w:name="_Ref160535287"/>
      <w:r w:rsidRPr="00381329">
        <w:t xml:space="preserve">Figure </w:t>
      </w:r>
      <w:r w:rsidR="00403A45">
        <w:fldChar w:fldCharType="begin"/>
      </w:r>
      <w:r w:rsidR="00403A45">
        <w:instrText xml:space="preserve"> SEQ Figure \* ARABIC </w:instrText>
      </w:r>
      <w:r w:rsidR="00403A45">
        <w:fldChar w:fldCharType="separate"/>
      </w:r>
      <w:r w:rsidR="00654C79" w:rsidRPr="00381329">
        <w:t>3</w:t>
      </w:r>
      <w:r w:rsidR="00403A45">
        <w:fldChar w:fldCharType="end"/>
      </w:r>
      <w:r w:rsidR="00A42E54" w:rsidRPr="00381329">
        <w:t>:</w:t>
      </w:r>
      <w:r w:rsidRPr="00381329">
        <w:t xml:space="preserve"> Payment and Netting process </w:t>
      </w:r>
      <w:proofErr w:type="gramStart"/>
      <w:r w:rsidRPr="00381329">
        <w:t>flow</w:t>
      </w:r>
      <w:bookmarkEnd w:id="168"/>
      <w:proofErr w:type="gramEnd"/>
    </w:p>
    <w:p w14:paraId="0779718F" w14:textId="77777777" w:rsidR="00914A5A" w:rsidRPr="00381329" w:rsidRDefault="001B504E">
      <w:pPr>
        <w:overflowPunct/>
        <w:autoSpaceDE/>
        <w:autoSpaceDN/>
        <w:adjustRightInd/>
        <w:spacing w:after="0"/>
        <w:textAlignment w:val="auto"/>
        <w:rPr>
          <w:rFonts w:ascii="Arial" w:hAnsi="Arial"/>
          <w:sz w:val="36"/>
        </w:rPr>
      </w:pPr>
      <w:r w:rsidRPr="00381329">
        <w:br w:type="page"/>
      </w:r>
    </w:p>
    <w:p w14:paraId="2AD3D43E" w14:textId="659360A8" w:rsidR="00914A5A" w:rsidRPr="00381329" w:rsidRDefault="001B504E">
      <w:pPr>
        <w:pStyle w:val="Heading8"/>
      </w:pPr>
      <w:bookmarkStart w:id="169" w:name="_Toc160787028"/>
      <w:bookmarkStart w:id="170" w:name="_Toc161049396"/>
      <w:r w:rsidRPr="00381329">
        <w:lastRenderedPageBreak/>
        <w:t xml:space="preserve">Annex </w:t>
      </w:r>
      <w:r w:rsidR="00A42E54" w:rsidRPr="00381329">
        <w:t xml:space="preserve">A </w:t>
      </w:r>
      <w:r w:rsidRPr="00381329">
        <w:t>(informative</w:t>
      </w:r>
      <w:r w:rsidR="00A130E4" w:rsidRPr="00381329">
        <w:t>):</w:t>
      </w:r>
      <w:r w:rsidR="00A130E4" w:rsidRPr="00381329">
        <w:br/>
      </w:r>
      <w:r w:rsidRPr="00381329">
        <w:t xml:space="preserve">Change </w:t>
      </w:r>
      <w:proofErr w:type="gramStart"/>
      <w:r w:rsidR="0018164C" w:rsidRPr="00381329">
        <w:t>history</w:t>
      </w:r>
      <w:bookmarkEnd w:id="169"/>
      <w:bookmarkEnd w:id="170"/>
      <w:proofErr w:type="gramEnd"/>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rsidRPr="00381329" w14:paraId="7A827243" w14:textId="77777777">
        <w:trPr>
          <w:tblHeader/>
          <w:jc w:val="center"/>
        </w:trPr>
        <w:tc>
          <w:tcPr>
            <w:tcW w:w="1566" w:type="dxa"/>
            <w:shd w:val="pct10" w:color="auto" w:fill="auto"/>
            <w:vAlign w:val="center"/>
          </w:tcPr>
          <w:p w14:paraId="1B82243E" w14:textId="77777777" w:rsidR="00914A5A" w:rsidRPr="00381329" w:rsidRDefault="001B504E">
            <w:pPr>
              <w:pStyle w:val="TAH"/>
            </w:pPr>
            <w:r w:rsidRPr="00381329">
              <w:t>Date</w:t>
            </w:r>
          </w:p>
        </w:tc>
        <w:tc>
          <w:tcPr>
            <w:tcW w:w="810" w:type="dxa"/>
            <w:shd w:val="pct10" w:color="auto" w:fill="auto"/>
            <w:vAlign w:val="center"/>
          </w:tcPr>
          <w:p w14:paraId="6AB53091" w14:textId="77777777" w:rsidR="00914A5A" w:rsidRPr="00381329" w:rsidRDefault="001B504E">
            <w:pPr>
              <w:pStyle w:val="TAH"/>
            </w:pPr>
            <w:r w:rsidRPr="00381329">
              <w:t>Version</w:t>
            </w:r>
          </w:p>
        </w:tc>
        <w:tc>
          <w:tcPr>
            <w:tcW w:w="7194" w:type="dxa"/>
            <w:shd w:val="pct10" w:color="auto" w:fill="auto"/>
            <w:vAlign w:val="center"/>
          </w:tcPr>
          <w:p w14:paraId="441526E8" w14:textId="77777777" w:rsidR="00914A5A" w:rsidRPr="00381329" w:rsidRDefault="001B504E">
            <w:pPr>
              <w:pStyle w:val="TAH"/>
            </w:pPr>
            <w:r w:rsidRPr="00381329">
              <w:t>Information about changes</w:t>
            </w:r>
          </w:p>
        </w:tc>
      </w:tr>
      <w:tr w:rsidR="00914A5A" w:rsidRPr="00381329" w14:paraId="3936E923" w14:textId="77777777">
        <w:trPr>
          <w:jc w:val="center"/>
        </w:trPr>
        <w:tc>
          <w:tcPr>
            <w:tcW w:w="1566" w:type="dxa"/>
            <w:vAlign w:val="center"/>
          </w:tcPr>
          <w:p w14:paraId="79666853" w14:textId="77777777" w:rsidR="00914A5A" w:rsidRPr="00381329" w:rsidRDefault="001B504E">
            <w:pPr>
              <w:pStyle w:val="TAL"/>
            </w:pPr>
            <w:r w:rsidRPr="00381329">
              <w:t>&lt;Month year&gt;</w:t>
            </w:r>
          </w:p>
        </w:tc>
        <w:tc>
          <w:tcPr>
            <w:tcW w:w="810" w:type="dxa"/>
            <w:vAlign w:val="center"/>
          </w:tcPr>
          <w:p w14:paraId="68BD3F3F" w14:textId="77777777" w:rsidR="00914A5A" w:rsidRPr="00381329" w:rsidRDefault="001B504E">
            <w:pPr>
              <w:pStyle w:val="TAC"/>
            </w:pPr>
            <w:r w:rsidRPr="00381329">
              <w:t>&lt;#&gt;</w:t>
            </w:r>
          </w:p>
        </w:tc>
        <w:tc>
          <w:tcPr>
            <w:tcW w:w="7194" w:type="dxa"/>
            <w:vAlign w:val="center"/>
          </w:tcPr>
          <w:p w14:paraId="3F3040E8" w14:textId="77777777" w:rsidR="00914A5A" w:rsidRPr="00381329" w:rsidRDefault="001B504E">
            <w:pPr>
              <w:pStyle w:val="TAL"/>
            </w:pPr>
            <w:r w:rsidRPr="00381329">
              <w:t>&lt;Changes made are listed in this cell&gt;</w:t>
            </w:r>
          </w:p>
        </w:tc>
      </w:tr>
      <w:tr w:rsidR="00914A5A" w:rsidRPr="00381329" w14:paraId="7339CA3F" w14:textId="77777777">
        <w:trPr>
          <w:jc w:val="center"/>
        </w:trPr>
        <w:tc>
          <w:tcPr>
            <w:tcW w:w="1566" w:type="dxa"/>
            <w:vAlign w:val="center"/>
          </w:tcPr>
          <w:p w14:paraId="0A9AA9ED" w14:textId="77777777" w:rsidR="00914A5A" w:rsidRPr="00381329" w:rsidRDefault="00914A5A">
            <w:pPr>
              <w:pStyle w:val="TAL"/>
            </w:pPr>
          </w:p>
        </w:tc>
        <w:tc>
          <w:tcPr>
            <w:tcW w:w="810" w:type="dxa"/>
            <w:vAlign w:val="center"/>
          </w:tcPr>
          <w:p w14:paraId="6A75A424" w14:textId="77777777" w:rsidR="00914A5A" w:rsidRPr="00381329" w:rsidRDefault="00914A5A">
            <w:pPr>
              <w:pStyle w:val="TAC"/>
            </w:pPr>
          </w:p>
        </w:tc>
        <w:tc>
          <w:tcPr>
            <w:tcW w:w="7194" w:type="dxa"/>
            <w:vAlign w:val="center"/>
          </w:tcPr>
          <w:p w14:paraId="3E26D803" w14:textId="77777777" w:rsidR="00914A5A" w:rsidRPr="00381329" w:rsidRDefault="00914A5A">
            <w:pPr>
              <w:pStyle w:val="TAL"/>
            </w:pPr>
          </w:p>
        </w:tc>
      </w:tr>
      <w:tr w:rsidR="00914A5A" w:rsidRPr="00381329" w14:paraId="1A5BFC18" w14:textId="77777777">
        <w:trPr>
          <w:jc w:val="center"/>
        </w:trPr>
        <w:tc>
          <w:tcPr>
            <w:tcW w:w="1566" w:type="dxa"/>
            <w:vAlign w:val="center"/>
          </w:tcPr>
          <w:p w14:paraId="0B10C6F4" w14:textId="77777777" w:rsidR="00914A5A" w:rsidRPr="00381329" w:rsidRDefault="00914A5A">
            <w:pPr>
              <w:pStyle w:val="TAL"/>
            </w:pPr>
          </w:p>
        </w:tc>
        <w:tc>
          <w:tcPr>
            <w:tcW w:w="810" w:type="dxa"/>
            <w:vAlign w:val="center"/>
          </w:tcPr>
          <w:p w14:paraId="1DAD400E" w14:textId="77777777" w:rsidR="00914A5A" w:rsidRPr="00381329" w:rsidRDefault="00914A5A">
            <w:pPr>
              <w:pStyle w:val="TAC"/>
            </w:pPr>
          </w:p>
        </w:tc>
        <w:tc>
          <w:tcPr>
            <w:tcW w:w="7194" w:type="dxa"/>
            <w:vAlign w:val="center"/>
          </w:tcPr>
          <w:p w14:paraId="1A7F2285" w14:textId="77777777" w:rsidR="00914A5A" w:rsidRPr="00381329" w:rsidRDefault="00914A5A">
            <w:pPr>
              <w:pStyle w:val="TAL"/>
            </w:pPr>
          </w:p>
        </w:tc>
      </w:tr>
      <w:tr w:rsidR="00914A5A" w:rsidRPr="00381329" w14:paraId="291EE9E8" w14:textId="77777777">
        <w:trPr>
          <w:jc w:val="center"/>
        </w:trPr>
        <w:tc>
          <w:tcPr>
            <w:tcW w:w="1566" w:type="dxa"/>
            <w:vAlign w:val="center"/>
          </w:tcPr>
          <w:p w14:paraId="55E2EBE6" w14:textId="77777777" w:rsidR="00914A5A" w:rsidRPr="00381329" w:rsidRDefault="00914A5A">
            <w:pPr>
              <w:pStyle w:val="TAL"/>
            </w:pPr>
          </w:p>
        </w:tc>
        <w:tc>
          <w:tcPr>
            <w:tcW w:w="810" w:type="dxa"/>
            <w:vAlign w:val="center"/>
          </w:tcPr>
          <w:p w14:paraId="7D80C5D2" w14:textId="77777777" w:rsidR="00914A5A" w:rsidRPr="00381329" w:rsidRDefault="00914A5A">
            <w:pPr>
              <w:pStyle w:val="TAC"/>
            </w:pPr>
          </w:p>
        </w:tc>
        <w:tc>
          <w:tcPr>
            <w:tcW w:w="7194" w:type="dxa"/>
            <w:vAlign w:val="center"/>
          </w:tcPr>
          <w:p w14:paraId="5031FF60" w14:textId="77777777" w:rsidR="00914A5A" w:rsidRPr="00381329" w:rsidRDefault="00914A5A">
            <w:pPr>
              <w:pStyle w:val="TAL"/>
            </w:pPr>
          </w:p>
        </w:tc>
      </w:tr>
    </w:tbl>
    <w:p w14:paraId="22002F91" w14:textId="77777777" w:rsidR="00914A5A" w:rsidRPr="00381329" w:rsidRDefault="00914A5A">
      <w:pPr>
        <w:spacing w:before="120" w:after="0"/>
        <w:rPr>
          <w:i/>
        </w:rPr>
      </w:pPr>
    </w:p>
    <w:p w14:paraId="7C2D8FAF" w14:textId="77777777" w:rsidR="00914A5A" w:rsidRPr="00381329" w:rsidRDefault="001B504E">
      <w:pPr>
        <w:overflowPunct/>
        <w:autoSpaceDE/>
        <w:autoSpaceDN/>
        <w:adjustRightInd/>
        <w:spacing w:after="0"/>
        <w:textAlignment w:val="auto"/>
        <w:rPr>
          <w:rFonts w:ascii="Arial" w:hAnsi="Arial"/>
          <w:sz w:val="36"/>
        </w:rPr>
      </w:pPr>
      <w:r w:rsidRPr="00381329">
        <w:br w:type="page"/>
      </w:r>
    </w:p>
    <w:p w14:paraId="7AEE2DBF" w14:textId="77777777" w:rsidR="00914A5A" w:rsidRPr="00381329" w:rsidRDefault="001B504E">
      <w:pPr>
        <w:pStyle w:val="Heading1"/>
        <w:rPr>
          <w:i/>
        </w:rPr>
      </w:pPr>
      <w:bookmarkStart w:id="171" w:name="_Toc160787029"/>
      <w:bookmarkStart w:id="172" w:name="_Toc161049397"/>
      <w:r w:rsidRPr="00381329">
        <w:lastRenderedPageBreak/>
        <w:t>History</w:t>
      </w:r>
      <w:bookmarkEnd w:id="171"/>
      <w:bookmarkEnd w:id="17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rsidRPr="00381329"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Pr="00381329" w:rsidRDefault="001B504E">
            <w:pPr>
              <w:spacing w:before="60" w:after="60"/>
              <w:jc w:val="center"/>
              <w:rPr>
                <w:b/>
                <w:sz w:val="24"/>
              </w:rPr>
            </w:pPr>
            <w:r w:rsidRPr="00381329">
              <w:rPr>
                <w:b/>
                <w:sz w:val="24"/>
              </w:rPr>
              <w:t>Document history</w:t>
            </w:r>
          </w:p>
        </w:tc>
      </w:tr>
      <w:tr w:rsidR="00914A5A" w:rsidRPr="00381329"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42CBF6F0" w:rsidR="00914A5A" w:rsidRPr="00381329" w:rsidRDefault="00A130E4">
            <w:pPr>
              <w:pStyle w:val="FP"/>
              <w:spacing w:before="80" w:after="80"/>
              <w:ind w:left="57"/>
            </w:pPr>
            <w:r w:rsidRPr="00381329">
              <w:t>V0.0.6</w:t>
            </w:r>
          </w:p>
        </w:tc>
        <w:tc>
          <w:tcPr>
            <w:tcW w:w="1588" w:type="dxa"/>
            <w:tcBorders>
              <w:top w:val="single" w:sz="6" w:space="0" w:color="auto"/>
              <w:left w:val="single" w:sz="6" w:space="0" w:color="auto"/>
              <w:bottom w:val="single" w:sz="6" w:space="0" w:color="auto"/>
              <w:right w:val="single" w:sz="6" w:space="0" w:color="auto"/>
            </w:tcBorders>
          </w:tcPr>
          <w:p w14:paraId="399C47DA" w14:textId="25CD2C55" w:rsidR="00914A5A" w:rsidRPr="00381329" w:rsidRDefault="00A130E4">
            <w:pPr>
              <w:pStyle w:val="FP"/>
              <w:spacing w:before="80" w:after="80"/>
              <w:ind w:left="57"/>
            </w:pPr>
            <w:r w:rsidRPr="00381329">
              <w:t>March 2024</w:t>
            </w:r>
          </w:p>
        </w:tc>
        <w:tc>
          <w:tcPr>
            <w:tcW w:w="6804" w:type="dxa"/>
            <w:tcBorders>
              <w:top w:val="single" w:sz="6" w:space="0" w:color="auto"/>
              <w:bottom w:val="single" w:sz="6" w:space="0" w:color="auto"/>
              <w:right w:val="single" w:sz="6" w:space="0" w:color="auto"/>
            </w:tcBorders>
          </w:tcPr>
          <w:p w14:paraId="3B7D4339" w14:textId="09A5DE2F" w:rsidR="00914A5A" w:rsidRPr="00381329" w:rsidRDefault="00A130E4">
            <w:pPr>
              <w:pStyle w:val="FP"/>
              <w:tabs>
                <w:tab w:val="left" w:pos="3261"/>
                <w:tab w:val="left" w:pos="4395"/>
              </w:tabs>
              <w:spacing w:before="80" w:after="80"/>
              <w:ind w:left="57"/>
            </w:pPr>
            <w:r w:rsidRPr="00381329">
              <w:t xml:space="preserve">Clean-up done by </w:t>
            </w:r>
            <w:proofErr w:type="spellStart"/>
            <w:r w:rsidRPr="001D748C">
              <w:rPr>
                <w:b/>
                <w:i/>
              </w:rPr>
              <w:t>editHelp</w:t>
            </w:r>
            <w:proofErr w:type="spellEnd"/>
            <w:r w:rsidRPr="001D748C">
              <w:rPr>
                <w:b/>
                <w:i/>
              </w:rPr>
              <w:t>!</w:t>
            </w:r>
            <w:r w:rsidRPr="001D748C">
              <w:rPr>
                <w:b/>
                <w:i/>
              </w:rPr>
              <w:br/>
            </w:r>
            <w:r w:rsidRPr="00381329">
              <w:t xml:space="preserve">E-mail: </w:t>
            </w:r>
            <w:hyperlink r:id="rId25" w:history="1">
              <w:r w:rsidRPr="00403A45">
                <w:rPr>
                  <w:rStyle w:val="Hyperlink"/>
                </w:rPr>
                <w:t>mailto:edithelp@etsi.org</w:t>
              </w:r>
            </w:hyperlink>
          </w:p>
        </w:tc>
      </w:tr>
      <w:tr w:rsidR="00914A5A" w:rsidRPr="00381329"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Pr="00381329" w:rsidRDefault="00914A5A">
            <w:pPr>
              <w:pStyle w:val="FP"/>
              <w:spacing w:before="80" w:after="80"/>
              <w:ind w:left="57"/>
            </w:pPr>
            <w:bookmarkStart w:id="173"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Pr="00381329"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Pr="00381329" w:rsidRDefault="00914A5A">
            <w:pPr>
              <w:pStyle w:val="FP"/>
              <w:tabs>
                <w:tab w:val="left" w:pos="3261"/>
                <w:tab w:val="left" w:pos="4395"/>
              </w:tabs>
              <w:spacing w:before="80" w:after="80"/>
              <w:ind w:left="57"/>
            </w:pPr>
          </w:p>
        </w:tc>
      </w:tr>
      <w:tr w:rsidR="00914A5A" w:rsidRPr="00381329"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Pr="00381329" w:rsidRDefault="00914A5A">
            <w:pPr>
              <w:pStyle w:val="FP"/>
              <w:spacing w:before="80" w:after="80"/>
              <w:ind w:left="57"/>
            </w:pPr>
            <w:bookmarkStart w:id="174" w:name="H_MAP" w:colFirst="2" w:colLast="2"/>
            <w:bookmarkEnd w:id="173"/>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Pr="00381329"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Pr="00381329" w:rsidRDefault="00914A5A">
            <w:pPr>
              <w:pStyle w:val="FP"/>
              <w:tabs>
                <w:tab w:val="left" w:pos="3261"/>
                <w:tab w:val="left" w:pos="4395"/>
              </w:tabs>
              <w:spacing w:before="80" w:after="80"/>
              <w:ind w:left="57"/>
            </w:pPr>
          </w:p>
        </w:tc>
      </w:tr>
      <w:tr w:rsidR="00914A5A" w:rsidRPr="00381329"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Pr="00381329" w:rsidRDefault="00914A5A">
            <w:pPr>
              <w:pStyle w:val="FP"/>
              <w:spacing w:before="80" w:after="80"/>
              <w:ind w:left="57"/>
            </w:pPr>
            <w:bookmarkStart w:id="175" w:name="H_UAP" w:colFirst="2" w:colLast="2"/>
            <w:bookmarkEnd w:id="174"/>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Pr="00381329"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Pr="00381329" w:rsidRDefault="00914A5A">
            <w:pPr>
              <w:pStyle w:val="FP"/>
              <w:tabs>
                <w:tab w:val="left" w:pos="3261"/>
                <w:tab w:val="left" w:pos="4395"/>
              </w:tabs>
              <w:spacing w:before="80" w:after="80"/>
              <w:ind w:left="57"/>
            </w:pPr>
          </w:p>
        </w:tc>
      </w:tr>
      <w:tr w:rsidR="00914A5A" w:rsidRPr="00381329"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Pr="00381329" w:rsidRDefault="00914A5A">
            <w:pPr>
              <w:pStyle w:val="FP"/>
              <w:spacing w:before="80" w:after="80"/>
              <w:ind w:left="57"/>
            </w:pPr>
            <w:bookmarkStart w:id="176" w:name="H_PE" w:colFirst="2" w:colLast="2"/>
            <w:bookmarkEnd w:id="175"/>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Pr="00381329"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Pr="00381329" w:rsidRDefault="00914A5A">
            <w:pPr>
              <w:pStyle w:val="FP"/>
              <w:tabs>
                <w:tab w:val="left" w:pos="3261"/>
                <w:tab w:val="left" w:pos="4395"/>
              </w:tabs>
              <w:spacing w:before="80" w:after="80"/>
              <w:ind w:left="57"/>
            </w:pPr>
          </w:p>
        </w:tc>
      </w:tr>
      <w:bookmarkEnd w:id="176"/>
    </w:tbl>
    <w:p w14:paraId="431F5998" w14:textId="77777777" w:rsidR="00914A5A" w:rsidRPr="00381329" w:rsidRDefault="00914A5A"/>
    <w:sectPr w:rsidR="00914A5A" w:rsidRPr="00381329" w:rsidSect="006767A3">
      <w:headerReference w:type="default" r:id="rId26"/>
      <w:footerReference w:type="default" r:id="rId27"/>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reille Trotta" w:date="2024-03-11T11:33:00Z" w:initials="MT">
    <w:p w14:paraId="611250C6" w14:textId="77777777" w:rsidR="00403A45" w:rsidRDefault="00403A45">
      <w:pPr>
        <w:pStyle w:val="CommentText"/>
      </w:pPr>
      <w:r>
        <w:rPr>
          <w:rStyle w:val="CommentReference"/>
        </w:rPr>
        <w:annotationRef/>
      </w:r>
      <w:r>
        <w:t>ETSI drafts should be written in an objective manner, it is important that ETSI is impartial and not seen to be endorsing any one product, company or service over others. Please check if this deliverable is affected by this issue and rephrase accordingly.</w:t>
      </w:r>
    </w:p>
    <w:p w14:paraId="16B1AE33" w14:textId="77777777" w:rsidR="00403A45" w:rsidRDefault="00403A45">
      <w:pPr>
        <w:pStyle w:val="CommentText"/>
      </w:pPr>
      <w:r>
        <w:rPr>
          <w:i/>
          <w:iCs/>
          <w:color w:val="180DF1"/>
        </w:rPr>
        <w:t>ETSI Directives (see section EDRs, clause 1.10).</w:t>
      </w:r>
    </w:p>
    <w:p w14:paraId="42F167CB" w14:textId="77777777" w:rsidR="00403A45" w:rsidRPr="005D277A" w:rsidRDefault="00403A45" w:rsidP="00973B7E">
      <w:pPr>
        <w:pStyle w:val="CommentText"/>
        <w:rPr>
          <w:lang w:val="en-US"/>
        </w:rPr>
      </w:pPr>
      <w:r>
        <w:t>Please confirm your standard is impartial/neutral.</w:t>
      </w:r>
    </w:p>
  </w:comment>
  <w:comment w:id="1" w:author="Shahar Steiff" w:date="2024-03-11T13:24:00Z" w:initials="SS">
    <w:p w14:paraId="52600302" w14:textId="77777777" w:rsidR="005D277A" w:rsidRDefault="005D277A" w:rsidP="005D277A">
      <w:r>
        <w:rPr>
          <w:rStyle w:val="CommentReference"/>
        </w:rPr>
        <w:annotationRef/>
      </w:r>
      <w:r>
        <w:t>Ack.</w:t>
      </w:r>
    </w:p>
  </w:comment>
  <w:comment w:id="2" w:author="Mireille Trotta" w:date="2024-03-08T15:54:00Z" w:initials="MT">
    <w:p w14:paraId="1FA6D6F4" w14:textId="6E22F625" w:rsidR="00374555" w:rsidRDefault="00374555" w:rsidP="00F678D7">
      <w:pPr>
        <w:pStyle w:val="CommentText"/>
      </w:pPr>
      <w:r>
        <w:rPr>
          <w:rStyle w:val="CommentReference"/>
        </w:rPr>
        <w:annotationRef/>
      </w:r>
      <w:r>
        <w:rPr>
          <w:lang w:val="fr-FR"/>
        </w:rPr>
        <w:t>In the ETSI Work Programme, the title is as follow: "Permissioned Distributed Ledgers (PDL); PDL in Settlement of Usage-Based Services". Please check and update either the document or the EWP.</w:t>
      </w:r>
    </w:p>
  </w:comment>
  <w:comment w:id="3" w:author="Shahar Steiff" w:date="2024-03-11T13:25:00Z" w:initials="SS">
    <w:p w14:paraId="399671BE" w14:textId="77777777" w:rsidR="005D277A" w:rsidRDefault="005D277A" w:rsidP="005D277A">
      <w:r>
        <w:rPr>
          <w:rStyle w:val="CommentReference"/>
        </w:rPr>
        <w:annotationRef/>
      </w:r>
      <w:r>
        <w:t>other than a hyphen between “usage” and “based” I see no difference.</w:t>
      </w:r>
    </w:p>
  </w:comment>
  <w:comment w:id="32" w:author="Mireille Trotta" w:date="2024-03-11T11:06:00Z" w:initials="MT">
    <w:p w14:paraId="15DF8181" w14:textId="77777777" w:rsidR="00BD593F" w:rsidRDefault="00BD593F">
      <w:pPr>
        <w:pStyle w:val="CommentText"/>
      </w:pPr>
      <w:r>
        <w:rPr>
          <w:rStyle w:val="CommentReference"/>
        </w:rPr>
        <w:annotationRef/>
      </w:r>
      <w:r>
        <w:t>According to our drafting rules the decimal sign is a comma. Could you please check the document about this issue and update?</w:t>
      </w:r>
    </w:p>
    <w:p w14:paraId="6468DE6C" w14:textId="77777777" w:rsidR="00BD593F" w:rsidRDefault="00BD593F" w:rsidP="00872DCA">
      <w:pPr>
        <w:pStyle w:val="CommentText"/>
      </w:pPr>
      <w:r>
        <w:rPr>
          <w:i/>
          <w:iCs/>
          <w:color w:val="180DF1"/>
        </w:rPr>
        <w:t>ETSI Directives (see section EDRs</w:t>
      </w:r>
      <w:r>
        <w:rPr>
          <w:i/>
          <w:iCs/>
          <w:color w:val="0000FF"/>
        </w:rPr>
        <w:t>, clause 6.6).</w:t>
      </w:r>
    </w:p>
  </w:comment>
  <w:comment w:id="33" w:author="Shahar Steiff" w:date="2024-03-11T13:27:00Z" w:initials="SS">
    <w:p w14:paraId="3740339D" w14:textId="77777777" w:rsidR="005D277A" w:rsidRDefault="005D277A" w:rsidP="005D277A">
      <w:r>
        <w:rPr>
          <w:rStyle w:val="CommentReference"/>
        </w:rPr>
        <w:annotationRef/>
      </w:r>
      <w:r>
        <w:t>Changed accordingly.</w:t>
      </w:r>
    </w:p>
  </w:comment>
  <w:comment w:id="60" w:author="Mireille Trotta" w:date="2024-03-11T11:08:00Z" w:initials="MT">
    <w:p w14:paraId="40DF1893" w14:textId="77777777" w:rsidR="005D277A" w:rsidRDefault="005D277A" w:rsidP="005D277A">
      <w:pPr>
        <w:pStyle w:val="CommentText"/>
      </w:pPr>
      <w:r>
        <w:rPr>
          <w:rStyle w:val="CommentReference"/>
        </w:rPr>
        <w:annotationRef/>
      </w:r>
      <w:r>
        <w:t>Our abbreviation tool picked out these unlisted potential abbreviations. If you consider some are worth keeping, just fill in their meaning by using TEDDI (</w:t>
      </w:r>
      <w:hyperlink r:id="rId1" w:history="1">
        <w:r w:rsidRPr="00BC2E88">
          <w:rPr>
            <w:rStyle w:val="Hyperlink"/>
          </w:rPr>
          <w:t>https://webapp.etsi.org/Teddi/</w:t>
        </w:r>
      </w:hyperlink>
      <w:r>
        <w:t>). We will delete later the untouched abbreviations.</w:t>
      </w:r>
    </w:p>
    <w:p w14:paraId="49BE9C3D" w14:textId="77777777" w:rsidR="005D277A" w:rsidRDefault="005D277A" w:rsidP="005D277A">
      <w:pPr>
        <w:pStyle w:val="CommentText"/>
      </w:pPr>
      <w:r>
        <w:rPr>
          <w:i/>
          <w:iCs/>
          <w:color w:val="180DF1"/>
        </w:rPr>
        <w:t>ETSI Directives (see section EDRs</w:t>
      </w:r>
      <w:r>
        <w:rPr>
          <w:i/>
          <w:iCs/>
          <w:color w:val="0000FF"/>
        </w:rPr>
        <w:t>, clause 2.11.2).</w:t>
      </w:r>
    </w:p>
  </w:comment>
  <w:comment w:id="61" w:author="Shahar Steiff" w:date="2024-03-11T13:33:00Z" w:initials="SS">
    <w:p w14:paraId="006EEBD8" w14:textId="77777777" w:rsidR="005D277A" w:rsidRDefault="005D277A" w:rsidP="005D277A">
      <w:r>
        <w:rPr>
          <w:rStyle w:val="CommentReference"/>
        </w:rPr>
        <w:annotationRef/>
      </w:r>
      <w:r>
        <w:t>Done</w:t>
      </w:r>
    </w:p>
  </w:comment>
  <w:comment w:id="115" w:author="Mireille Trotta" w:date="2024-03-11T11:13:00Z" w:initials="MT">
    <w:p w14:paraId="156CD094" w14:textId="7C44E474" w:rsidR="00BD593F" w:rsidRDefault="00BD593F">
      <w:pPr>
        <w:pStyle w:val="CommentText"/>
      </w:pPr>
      <w:r>
        <w:rPr>
          <w:rStyle w:val="CommentReference"/>
        </w:rPr>
        <w:annotationRef/>
      </w:r>
      <w:r>
        <w:t>According to our drafting rules t the thousand separator is a space. Please check the document and update accordingly.</w:t>
      </w:r>
    </w:p>
    <w:p w14:paraId="73E2D5EB" w14:textId="77777777" w:rsidR="00BD593F" w:rsidRDefault="00BD593F" w:rsidP="000640B5">
      <w:pPr>
        <w:pStyle w:val="CommentText"/>
      </w:pPr>
      <w:r>
        <w:rPr>
          <w:i/>
          <w:iCs/>
          <w:color w:val="180DF1"/>
        </w:rPr>
        <w:t>ETSI Directives (see section EDRs</w:t>
      </w:r>
      <w:r>
        <w:rPr>
          <w:i/>
          <w:iCs/>
          <w:color w:val="0000FF"/>
        </w:rPr>
        <w:t>, clause 6.6).</w:t>
      </w:r>
    </w:p>
  </w:comment>
  <w:comment w:id="116" w:author="Shahar Steiff" w:date="2024-03-11T13:42:00Z" w:initials="SS">
    <w:p w14:paraId="3DB3B49E" w14:textId="77777777" w:rsidR="00F911F5" w:rsidRDefault="00F911F5" w:rsidP="00F911F5">
      <w:r>
        <w:rPr>
          <w:rStyle w:val="CommentReference"/>
        </w:rPr>
        <w:annotationRef/>
      </w:r>
      <w:r>
        <w:t>Changed accordingly</w:t>
      </w:r>
    </w:p>
  </w:comment>
  <w:comment w:id="146" w:author="Mireille Trotta" w:date="2024-03-11T11:18:00Z" w:initials="MT">
    <w:p w14:paraId="285E849E" w14:textId="492D97B0" w:rsidR="00BD593F" w:rsidRDefault="00BD593F">
      <w:pPr>
        <w:pStyle w:val="CommentText"/>
      </w:pPr>
      <w:r>
        <w:rPr>
          <w:rStyle w:val="CommentReference"/>
        </w:rPr>
        <w:annotationRef/>
      </w:r>
      <w:r>
        <w:t>ETSI deliverables must be kept impersonal. Please rephrase without using "we", "you", "let's", etc.</w:t>
      </w:r>
    </w:p>
    <w:p w14:paraId="4B51FD43" w14:textId="77777777" w:rsidR="00BD593F" w:rsidRDefault="00BD593F" w:rsidP="00FE2482">
      <w:pPr>
        <w:pStyle w:val="CommentText"/>
      </w:pPr>
      <w:r>
        <w:rPr>
          <w:i/>
          <w:iCs/>
          <w:color w:val="0000FF"/>
        </w:rPr>
        <w:t>Guide to writing World Class standards, p.18</w:t>
      </w:r>
    </w:p>
  </w:comment>
  <w:comment w:id="147" w:author="Shahar Steiff" w:date="2024-03-11T13:43:00Z" w:initials="SS">
    <w:p w14:paraId="412DEB3C" w14:textId="77777777" w:rsidR="00F911F5" w:rsidRDefault="00F911F5" w:rsidP="00F911F5">
      <w:r>
        <w:rPr>
          <w:rStyle w:val="CommentReference"/>
        </w:rPr>
        <w:annotationRef/>
      </w:r>
      <w:r>
        <w:t>“us” is a typo for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167CB" w15:done="1"/>
  <w15:commentEx w15:paraId="52600302" w15:paraIdParent="42F167CB" w15:done="1"/>
  <w15:commentEx w15:paraId="1FA6D6F4" w15:done="1"/>
  <w15:commentEx w15:paraId="399671BE" w15:paraIdParent="1FA6D6F4" w15:done="1"/>
  <w15:commentEx w15:paraId="6468DE6C" w15:done="1"/>
  <w15:commentEx w15:paraId="3740339D" w15:paraIdParent="6468DE6C" w15:done="1"/>
  <w15:commentEx w15:paraId="49BE9C3D" w15:done="1"/>
  <w15:commentEx w15:paraId="006EEBD8" w15:paraIdParent="49BE9C3D" w15:done="1"/>
  <w15:commentEx w15:paraId="73E2D5EB" w15:done="1"/>
  <w15:commentEx w15:paraId="3DB3B49E" w15:paraIdParent="73E2D5EB" w15:done="1"/>
  <w15:commentEx w15:paraId="4B51FD43" w15:done="1"/>
  <w15:commentEx w15:paraId="412DEB3C" w15:paraIdParent="4B51FD4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996A8E" w16cex:dateUtc="2024-03-11T10:33:00Z"/>
  <w16cex:commentExtensible w16cex:durableId="27D890F6" w16cex:dateUtc="2024-03-11T11:24:00Z"/>
  <w16cex:commentExtensible w16cex:durableId="2995B348" w16cex:dateUtc="2024-03-08T14:54:00Z"/>
  <w16cex:commentExtensible w16cex:durableId="5CD76AB3" w16cex:dateUtc="2024-03-11T11:25:00Z"/>
  <w16cex:commentExtensible w16cex:durableId="2999642F" w16cex:dateUtc="2024-03-11T10:06:00Z"/>
  <w16cex:commentExtensible w16cex:durableId="09ACBEB3" w16cex:dateUtc="2024-03-11T11:27:00Z"/>
  <w16cex:commentExtensible w16cex:durableId="299964C4" w16cex:dateUtc="2024-03-11T10:08:00Z"/>
  <w16cex:commentExtensible w16cex:durableId="6881B119" w16cex:dateUtc="2024-03-11T11:33:00Z"/>
  <w16cex:commentExtensible w16cex:durableId="299965E3" w16cex:dateUtc="2024-03-11T10:13:00Z"/>
  <w16cex:commentExtensible w16cex:durableId="170A764C" w16cex:dateUtc="2024-03-11T11:42:00Z"/>
  <w16cex:commentExtensible w16cex:durableId="299966E8" w16cex:dateUtc="2024-03-11T10:18:00Z"/>
  <w16cex:commentExtensible w16cex:durableId="70F9C637" w16cex:dateUtc="2024-03-11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167CB" w16cid:durableId="29996A8E"/>
  <w16cid:commentId w16cid:paraId="52600302" w16cid:durableId="27D890F6"/>
  <w16cid:commentId w16cid:paraId="1FA6D6F4" w16cid:durableId="2995B348"/>
  <w16cid:commentId w16cid:paraId="399671BE" w16cid:durableId="5CD76AB3"/>
  <w16cid:commentId w16cid:paraId="6468DE6C" w16cid:durableId="2999642F"/>
  <w16cid:commentId w16cid:paraId="3740339D" w16cid:durableId="09ACBEB3"/>
  <w16cid:commentId w16cid:paraId="49BE9C3D" w16cid:durableId="299964C4"/>
  <w16cid:commentId w16cid:paraId="006EEBD8" w16cid:durableId="6881B119"/>
  <w16cid:commentId w16cid:paraId="73E2D5EB" w16cid:durableId="299965E3"/>
  <w16cid:commentId w16cid:paraId="3DB3B49E" w16cid:durableId="170A764C"/>
  <w16cid:commentId w16cid:paraId="4B51FD43" w16cid:durableId="299966E8"/>
  <w16cid:commentId w16cid:paraId="412DEB3C" w16cid:durableId="70F9C6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1B7C" w14:textId="77777777" w:rsidR="006767A3" w:rsidRDefault="006767A3">
      <w:r>
        <w:separator/>
      </w:r>
    </w:p>
  </w:endnote>
  <w:endnote w:type="continuationSeparator" w:id="0">
    <w:p w14:paraId="26A0A2D5" w14:textId="77777777" w:rsidR="006767A3" w:rsidRDefault="0067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DA3C" w14:textId="77777777" w:rsidR="00A130E4" w:rsidRDefault="00A130E4">
    <w:pPr>
      <w:pStyle w:val="Footer"/>
    </w:pPr>
  </w:p>
  <w:p w14:paraId="7304FF5E" w14:textId="77777777" w:rsidR="00A130E4" w:rsidRDefault="00A13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183E4787" w:rsidR="00914A5A" w:rsidRPr="00A130E4" w:rsidRDefault="00A130E4" w:rsidP="00A130E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B48B" w14:textId="77777777" w:rsidR="006767A3" w:rsidRDefault="006767A3">
      <w:r>
        <w:separator/>
      </w:r>
    </w:p>
  </w:footnote>
  <w:footnote w:type="continuationSeparator" w:id="0">
    <w:p w14:paraId="0D205ADA" w14:textId="77777777" w:rsidR="006767A3" w:rsidRDefault="00676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52CC" w14:textId="77777777" w:rsidR="00A130E4" w:rsidRDefault="00A130E4">
    <w:pPr>
      <w:pStyle w:val="Header"/>
    </w:pPr>
    <w:r>
      <w:rPr>
        <w:lang w:eastAsia="en-GB"/>
      </w:rPr>
      <w:drawing>
        <wp:anchor distT="0" distB="0" distL="114300" distR="114300" simplePos="0" relativeHeight="251659264" behindDoc="1" locked="0" layoutInCell="1" allowOverlap="1" wp14:anchorId="38D4C9E9" wp14:editId="5652B7E0">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4ACE" w14:textId="409EC451" w:rsidR="00A130E4" w:rsidRDefault="00A130E4" w:rsidP="00A130E4">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DC3C8F">
      <w:t>Draft ETSI GS PDL 026 V1.0.0 (2024-03)</w:t>
    </w:r>
    <w:r>
      <w:rPr>
        <w:noProof w:val="0"/>
      </w:rPr>
      <w:fldChar w:fldCharType="end"/>
    </w:r>
  </w:p>
  <w:p w14:paraId="053BB0C8" w14:textId="77777777" w:rsidR="00A130E4" w:rsidRDefault="00A130E4" w:rsidP="00A130E4">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5DF9AA5E" w14:textId="550132CF" w:rsidR="00A130E4" w:rsidRDefault="00A130E4" w:rsidP="00A130E4">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separate"/>
    </w:r>
    <w:r w:rsidR="00DC3C8F">
      <w:t>Release 1</w:t>
    </w:r>
    <w:r>
      <w:rPr>
        <w:noProof w:val="0"/>
      </w:rPr>
      <w:fldChar w:fldCharType="end"/>
    </w:r>
  </w:p>
  <w:p w14:paraId="2E3D878E" w14:textId="4DF80856" w:rsidR="00914A5A" w:rsidRPr="00A130E4" w:rsidRDefault="00914A5A" w:rsidP="00A13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461E1"/>
    <w:multiLevelType w:val="hybridMultilevel"/>
    <w:tmpl w:val="16E83B68"/>
    <w:lvl w:ilvl="0" w:tplc="17709C0E">
      <w:start w:val="1"/>
      <w:numFmt w:val="decimal"/>
      <w:lvlText w:val="[O%1]"/>
      <w:lvlJc w:val="left"/>
      <w:pPr>
        <w:tabs>
          <w:tab w:val="num" w:pos="850"/>
        </w:tabs>
        <w:ind w:left="778" w:hanging="648"/>
      </w:pPr>
      <w:rPr>
        <w:rFonts w:hint="default"/>
        <w:b/>
        <w:i w:val="0"/>
        <w:em w:val="none"/>
      </w:rPr>
    </w:lvl>
    <w:lvl w:ilvl="1" w:tplc="04090001">
      <w:start w:val="1"/>
      <w:numFmt w:val="bullet"/>
      <w:lvlText w:val=""/>
      <w:lvlJc w:val="left"/>
      <w:pPr>
        <w:tabs>
          <w:tab w:val="num" w:pos="490"/>
        </w:tabs>
        <w:ind w:left="490" w:hanging="360"/>
      </w:pPr>
      <w:rPr>
        <w:rFonts w:ascii="Symbol" w:hAnsi="Symbol" w:hint="default"/>
        <w:b/>
        <w:i w:val="0"/>
        <w:em w:val="none"/>
      </w:rPr>
    </w:lvl>
    <w:lvl w:ilvl="2" w:tplc="0409001B">
      <w:start w:val="1"/>
      <w:numFmt w:val="lowerRoman"/>
      <w:lvlText w:val="%3."/>
      <w:lvlJc w:val="right"/>
      <w:pPr>
        <w:tabs>
          <w:tab w:val="num" w:pos="1210"/>
        </w:tabs>
        <w:ind w:left="1210" w:hanging="180"/>
      </w:pPr>
    </w:lvl>
    <w:lvl w:ilvl="3" w:tplc="0409000F" w:tentative="1">
      <w:start w:val="1"/>
      <w:numFmt w:val="decimal"/>
      <w:lvlText w:val="%4."/>
      <w:lvlJc w:val="left"/>
      <w:pPr>
        <w:tabs>
          <w:tab w:val="num" w:pos="1930"/>
        </w:tabs>
        <w:ind w:left="1930" w:hanging="360"/>
      </w:pPr>
    </w:lvl>
    <w:lvl w:ilvl="4" w:tplc="04090019" w:tentative="1">
      <w:start w:val="1"/>
      <w:numFmt w:val="lowerLetter"/>
      <w:lvlText w:val="%5."/>
      <w:lvlJc w:val="left"/>
      <w:pPr>
        <w:tabs>
          <w:tab w:val="num" w:pos="2650"/>
        </w:tabs>
        <w:ind w:left="2650" w:hanging="360"/>
      </w:pPr>
    </w:lvl>
    <w:lvl w:ilvl="5" w:tplc="0409001B" w:tentative="1">
      <w:start w:val="1"/>
      <w:numFmt w:val="lowerRoman"/>
      <w:lvlText w:val="%6."/>
      <w:lvlJc w:val="right"/>
      <w:pPr>
        <w:tabs>
          <w:tab w:val="num" w:pos="3370"/>
        </w:tabs>
        <w:ind w:left="3370" w:hanging="180"/>
      </w:pPr>
    </w:lvl>
    <w:lvl w:ilvl="6" w:tplc="0409000F" w:tentative="1">
      <w:start w:val="1"/>
      <w:numFmt w:val="decimal"/>
      <w:lvlText w:val="%7."/>
      <w:lvlJc w:val="left"/>
      <w:pPr>
        <w:tabs>
          <w:tab w:val="num" w:pos="4090"/>
        </w:tabs>
        <w:ind w:left="4090" w:hanging="360"/>
      </w:pPr>
    </w:lvl>
    <w:lvl w:ilvl="7" w:tplc="04090019" w:tentative="1">
      <w:start w:val="1"/>
      <w:numFmt w:val="lowerLetter"/>
      <w:lvlText w:val="%8."/>
      <w:lvlJc w:val="left"/>
      <w:pPr>
        <w:tabs>
          <w:tab w:val="num" w:pos="4810"/>
        </w:tabs>
        <w:ind w:left="4810" w:hanging="360"/>
      </w:pPr>
    </w:lvl>
    <w:lvl w:ilvl="8" w:tplc="0409001B" w:tentative="1">
      <w:start w:val="1"/>
      <w:numFmt w:val="lowerRoman"/>
      <w:lvlText w:val="%9."/>
      <w:lvlJc w:val="right"/>
      <w:pPr>
        <w:tabs>
          <w:tab w:val="num" w:pos="5530"/>
        </w:tabs>
        <w:ind w:left="5530" w:hanging="180"/>
      </w:p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5C1E3E"/>
    <w:multiLevelType w:val="hybridMultilevel"/>
    <w:tmpl w:val="B22273B6"/>
    <w:lvl w:ilvl="0" w:tplc="8482E88E">
      <w:start w:val="1"/>
      <w:numFmt w:val="decimal"/>
      <w:lvlText w:val="[R%1]"/>
      <w:lvlJc w:val="left"/>
      <w:pPr>
        <w:tabs>
          <w:tab w:val="num" w:pos="936"/>
        </w:tabs>
        <w:ind w:left="936" w:hanging="936"/>
      </w:pPr>
      <w:rPr>
        <w:rFonts w:hint="default"/>
        <w:b/>
        <w:i w:val="0"/>
        <w:strike w:val="0"/>
        <w:em w:val="none"/>
      </w:rPr>
    </w:lvl>
    <w:lvl w:ilvl="1" w:tplc="0409000F">
      <w:start w:val="1"/>
      <w:numFmt w:val="decimal"/>
      <w:lvlText w:val="%2."/>
      <w:lvlJc w:val="left"/>
      <w:pPr>
        <w:tabs>
          <w:tab w:val="num" w:pos="540"/>
        </w:tabs>
        <w:ind w:left="540" w:hanging="360"/>
      </w:pPr>
      <w:rPr>
        <w:rFonts w:hint="default"/>
        <w:b/>
        <w:i w:val="0"/>
        <w:strike w:val="0"/>
        <w:em w:val="none"/>
      </w:rPr>
    </w:lvl>
    <w:lvl w:ilvl="2" w:tplc="F57E8FC6">
      <w:start w:val="1"/>
      <w:numFmt w:val="bullet"/>
      <w:lvlText w:val=""/>
      <w:lvlJc w:val="left"/>
      <w:pPr>
        <w:tabs>
          <w:tab w:val="num" w:pos="1440"/>
        </w:tabs>
        <w:ind w:left="1440" w:hanging="360"/>
      </w:pPr>
      <w:rPr>
        <w:rFonts w:ascii="Symbol" w:hAnsi="Symbol" w:hint="default"/>
        <w:b/>
        <w:i w:val="0"/>
        <w:strike w:val="0"/>
        <w:color w:val="auto"/>
        <w:em w:val="none"/>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6B7B08"/>
    <w:multiLevelType w:val="hybridMultilevel"/>
    <w:tmpl w:val="3B827A38"/>
    <w:lvl w:ilvl="0" w:tplc="3B8830C4">
      <w:start w:val="1"/>
      <w:numFmt w:val="decimal"/>
      <w:lvlText w:val="[D%1]"/>
      <w:lvlJc w:val="left"/>
      <w:pPr>
        <w:tabs>
          <w:tab w:val="num" w:pos="1800"/>
        </w:tabs>
        <w:ind w:left="1728" w:hanging="648"/>
      </w:pPr>
      <w:rPr>
        <w:rFonts w:hint="default"/>
        <w:b/>
        <w:i w:val="0"/>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41A54AA"/>
    <w:multiLevelType w:val="multilevel"/>
    <w:tmpl w:val="971EDDEE"/>
    <w:lvl w:ilvl="0">
      <w:start w:val="1"/>
      <w:numFmt w:val="upperLetter"/>
      <w:lvlText w:val="Appendix %1"/>
      <w:lvlJc w:val="left"/>
      <w:pPr>
        <w:tabs>
          <w:tab w:val="num" w:pos="1440"/>
        </w:tabs>
        <w:ind w:left="1440" w:hanging="1440"/>
      </w:pPr>
      <w:rPr>
        <w:rFonts w:ascii="Calibri" w:hAnsi="Calibri" w:hint="default"/>
        <w:b/>
        <w:sz w:val="28"/>
      </w:rPr>
    </w:lvl>
    <w:lvl w:ilvl="1">
      <w:start w:val="1"/>
      <w:numFmt w:val="decimal"/>
      <w:lvlText w:val="%1.%2"/>
      <w:lvlJc w:val="left"/>
      <w:pPr>
        <w:tabs>
          <w:tab w:val="num" w:pos="720"/>
        </w:tabs>
        <w:ind w:left="720" w:hanging="720"/>
      </w:pPr>
      <w:rPr>
        <w:rFonts w:ascii="Calibri" w:hAnsi="Calibri" w:hint="default"/>
        <w:b/>
        <w:sz w:val="24"/>
      </w:rPr>
    </w:lvl>
    <w:lvl w:ilvl="2">
      <w:start w:val="1"/>
      <w:numFmt w:val="decimal"/>
      <w:lvlText w:val="%1.%2.%3"/>
      <w:lvlJc w:val="left"/>
      <w:pPr>
        <w:tabs>
          <w:tab w:val="num" w:pos="3960"/>
        </w:tabs>
        <w:ind w:left="3960" w:hanging="720"/>
      </w:pPr>
      <w:rPr>
        <w:rFonts w:ascii="Calibri" w:hAnsi="Calibri" w:hint="default"/>
        <w:b/>
        <w:sz w:val="22"/>
      </w:rPr>
    </w:lvl>
    <w:lvl w:ilvl="3">
      <w:start w:val="1"/>
      <w:numFmt w:val="decimal"/>
      <w:lvlText w:val="(%4)"/>
      <w:lvlJc w:val="left"/>
      <w:pPr>
        <w:ind w:left="10440" w:hanging="360"/>
      </w:pPr>
      <w:rPr>
        <w:rFonts w:hint="default"/>
      </w:rPr>
    </w:lvl>
    <w:lvl w:ilvl="4">
      <w:start w:val="1"/>
      <w:numFmt w:val="lowerLetter"/>
      <w:lvlText w:val="(%5)"/>
      <w:lvlJc w:val="left"/>
      <w:pPr>
        <w:ind w:left="10800" w:hanging="360"/>
      </w:pPr>
      <w:rPr>
        <w:rFonts w:hint="default"/>
      </w:rPr>
    </w:lvl>
    <w:lvl w:ilvl="5">
      <w:start w:val="1"/>
      <w:numFmt w:val="lowerRoman"/>
      <w:lvlText w:val="(%6)"/>
      <w:lvlJc w:val="left"/>
      <w:pPr>
        <w:ind w:left="11160" w:hanging="360"/>
      </w:pPr>
      <w:rPr>
        <w:rFonts w:hint="default"/>
      </w:rPr>
    </w:lvl>
    <w:lvl w:ilvl="6">
      <w:start w:val="1"/>
      <w:numFmt w:val="decimal"/>
      <w:lvlText w:val="%7."/>
      <w:lvlJc w:val="left"/>
      <w:pPr>
        <w:ind w:left="11520" w:hanging="360"/>
      </w:pPr>
      <w:rPr>
        <w:rFonts w:hint="default"/>
      </w:rPr>
    </w:lvl>
    <w:lvl w:ilvl="7">
      <w:start w:val="1"/>
      <w:numFmt w:val="lowerLetter"/>
      <w:lvlText w:val="%8."/>
      <w:lvlJc w:val="left"/>
      <w:pPr>
        <w:ind w:left="11880" w:hanging="360"/>
      </w:pPr>
      <w:rPr>
        <w:rFonts w:hint="default"/>
      </w:rPr>
    </w:lvl>
    <w:lvl w:ilvl="8">
      <w:start w:val="1"/>
      <w:numFmt w:val="lowerRoman"/>
      <w:lvlText w:val="%9."/>
      <w:lvlJc w:val="left"/>
      <w:pPr>
        <w:ind w:left="12240" w:hanging="360"/>
      </w:pPr>
      <w:rPr>
        <w:rFonts w:hint="default"/>
      </w:r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E6018D"/>
    <w:multiLevelType w:val="multilevel"/>
    <w:tmpl w:val="971EDDEE"/>
    <w:lvl w:ilvl="0">
      <w:start w:val="1"/>
      <w:numFmt w:val="upperLetter"/>
      <w:lvlText w:val="Appendix %1"/>
      <w:lvlJc w:val="left"/>
      <w:pPr>
        <w:tabs>
          <w:tab w:val="num" w:pos="1440"/>
        </w:tabs>
        <w:ind w:left="1440" w:hanging="1440"/>
      </w:pPr>
      <w:rPr>
        <w:rFonts w:ascii="Calibri" w:hAnsi="Calibri" w:hint="default"/>
        <w:b/>
        <w:sz w:val="28"/>
      </w:rPr>
    </w:lvl>
    <w:lvl w:ilvl="1">
      <w:start w:val="1"/>
      <w:numFmt w:val="decimal"/>
      <w:lvlText w:val="%1.%2"/>
      <w:lvlJc w:val="left"/>
      <w:pPr>
        <w:tabs>
          <w:tab w:val="num" w:pos="720"/>
        </w:tabs>
        <w:ind w:left="720" w:hanging="720"/>
      </w:pPr>
      <w:rPr>
        <w:rFonts w:ascii="Calibri" w:hAnsi="Calibri" w:hint="default"/>
        <w:b/>
        <w:sz w:val="24"/>
      </w:rPr>
    </w:lvl>
    <w:lvl w:ilvl="2">
      <w:start w:val="1"/>
      <w:numFmt w:val="decimal"/>
      <w:lvlText w:val="%1.%2.%3"/>
      <w:lvlJc w:val="left"/>
      <w:pPr>
        <w:tabs>
          <w:tab w:val="num" w:pos="3960"/>
        </w:tabs>
        <w:ind w:left="3960" w:hanging="720"/>
      </w:pPr>
      <w:rPr>
        <w:rFonts w:ascii="Calibri" w:hAnsi="Calibri" w:hint="default"/>
        <w:b/>
        <w:sz w:val="22"/>
      </w:rPr>
    </w:lvl>
    <w:lvl w:ilvl="3">
      <w:start w:val="1"/>
      <w:numFmt w:val="decimal"/>
      <w:lvlText w:val="(%4)"/>
      <w:lvlJc w:val="left"/>
      <w:pPr>
        <w:ind w:left="10440" w:hanging="360"/>
      </w:pPr>
      <w:rPr>
        <w:rFonts w:hint="default"/>
      </w:rPr>
    </w:lvl>
    <w:lvl w:ilvl="4">
      <w:start w:val="1"/>
      <w:numFmt w:val="lowerLetter"/>
      <w:lvlText w:val="(%5)"/>
      <w:lvlJc w:val="left"/>
      <w:pPr>
        <w:ind w:left="10800" w:hanging="360"/>
      </w:pPr>
      <w:rPr>
        <w:rFonts w:hint="default"/>
      </w:rPr>
    </w:lvl>
    <w:lvl w:ilvl="5">
      <w:start w:val="1"/>
      <w:numFmt w:val="lowerRoman"/>
      <w:lvlText w:val="(%6)"/>
      <w:lvlJc w:val="left"/>
      <w:pPr>
        <w:ind w:left="11160" w:hanging="360"/>
      </w:pPr>
      <w:rPr>
        <w:rFonts w:hint="default"/>
      </w:rPr>
    </w:lvl>
    <w:lvl w:ilvl="6">
      <w:start w:val="1"/>
      <w:numFmt w:val="decimal"/>
      <w:lvlText w:val="%7."/>
      <w:lvlJc w:val="left"/>
      <w:pPr>
        <w:ind w:left="11520" w:hanging="360"/>
      </w:pPr>
      <w:rPr>
        <w:rFonts w:hint="default"/>
      </w:rPr>
    </w:lvl>
    <w:lvl w:ilvl="7">
      <w:start w:val="1"/>
      <w:numFmt w:val="lowerLetter"/>
      <w:lvlText w:val="%8."/>
      <w:lvlJc w:val="left"/>
      <w:pPr>
        <w:ind w:left="11880" w:hanging="360"/>
      </w:pPr>
      <w:rPr>
        <w:rFonts w:hint="default"/>
      </w:rPr>
    </w:lvl>
    <w:lvl w:ilvl="8">
      <w:start w:val="1"/>
      <w:numFmt w:val="lowerRoman"/>
      <w:lvlText w:val="%9."/>
      <w:lvlJc w:val="left"/>
      <w:pPr>
        <w:ind w:left="12240" w:hanging="360"/>
      </w:pPr>
      <w:rPr>
        <w:rFonts w:hint="default"/>
      </w:r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DAF5006"/>
    <w:multiLevelType w:val="multilevel"/>
    <w:tmpl w:val="BB80A672"/>
    <w:lvl w:ilvl="0">
      <w:start w:val="1"/>
      <w:numFmt w:val="decimal"/>
      <w:suff w:val="nothing"/>
      <w:lvlText w:val="[CR%1]&lt;"/>
      <w:lvlJc w:val="left"/>
      <w:pPr>
        <w:ind w:left="2552" w:hanging="1650"/>
      </w:pPr>
      <w:rPr>
        <w:rFonts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E6001E"/>
    <w:multiLevelType w:val="hybridMultilevel"/>
    <w:tmpl w:val="9C14362A"/>
    <w:lvl w:ilvl="0" w:tplc="A796B418">
      <w:start w:val="1"/>
      <w:numFmt w:val="decimal"/>
      <w:suff w:val="nothing"/>
      <w:lvlText w:val="[CD%1]&lt;"/>
      <w:lvlJc w:val="left"/>
      <w:pPr>
        <w:ind w:left="2552" w:hanging="16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6E2496">
      <w:start w:val="1"/>
      <w:numFmt w:val="decimal"/>
      <w:pStyle w:val="ConditionalOptionalRequirement"/>
      <w:suff w:val="nothing"/>
      <w:lvlText w:val="[CO%2]&lt;"/>
      <w:lvlJc w:val="left"/>
      <w:pPr>
        <w:ind w:left="902"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071349734">
    <w:abstractNumId w:val="19"/>
  </w:num>
  <w:num w:numId="2" w16cid:durableId="1812208719">
    <w:abstractNumId w:val="37"/>
  </w:num>
  <w:num w:numId="3" w16cid:durableId="897782696">
    <w:abstractNumId w:val="14"/>
  </w:num>
  <w:num w:numId="4" w16cid:durableId="90783572">
    <w:abstractNumId w:val="21"/>
  </w:num>
  <w:num w:numId="5" w16cid:durableId="474226624">
    <w:abstractNumId w:val="28"/>
  </w:num>
  <w:num w:numId="6" w16cid:durableId="2024473105">
    <w:abstractNumId w:val="2"/>
  </w:num>
  <w:num w:numId="7" w16cid:durableId="1407876757">
    <w:abstractNumId w:val="1"/>
  </w:num>
  <w:num w:numId="8" w16cid:durableId="59598575">
    <w:abstractNumId w:val="0"/>
  </w:num>
  <w:num w:numId="9" w16cid:durableId="1599870643">
    <w:abstractNumId w:val="36"/>
  </w:num>
  <w:num w:numId="10" w16cid:durableId="1078668447">
    <w:abstractNumId w:val="38"/>
  </w:num>
  <w:num w:numId="11" w16cid:durableId="1859738497">
    <w:abstractNumId w:val="13"/>
  </w:num>
  <w:num w:numId="12" w16cid:durableId="535894974">
    <w:abstractNumId w:val="10"/>
  </w:num>
  <w:num w:numId="13" w16cid:durableId="78716518">
    <w:abstractNumId w:val="24"/>
  </w:num>
  <w:num w:numId="14" w16cid:durableId="890724897">
    <w:abstractNumId w:val="34"/>
  </w:num>
  <w:num w:numId="15" w16cid:durableId="184951463">
    <w:abstractNumId w:val="31"/>
  </w:num>
  <w:num w:numId="16" w16cid:durableId="969047039">
    <w:abstractNumId w:val="29"/>
  </w:num>
  <w:num w:numId="17" w16cid:durableId="1862814153">
    <w:abstractNumId w:val="27"/>
    <w:lvlOverride w:ilvl="0">
      <w:lvl w:ilvl="0">
        <w:start w:val="1"/>
        <w:numFmt w:val="upperLetter"/>
        <w:lvlText w:val="Appendix %1"/>
        <w:lvlJc w:val="left"/>
        <w:pPr>
          <w:tabs>
            <w:tab w:val="num" w:pos="1440"/>
          </w:tabs>
          <w:ind w:left="1440" w:hanging="1440"/>
        </w:pPr>
        <w:rPr>
          <w:rFonts w:ascii="Calibri" w:hAnsi="Calibri" w:hint="default"/>
          <w:b/>
          <w:sz w:val="28"/>
        </w:rPr>
      </w:lvl>
    </w:lvlOverride>
  </w:num>
  <w:num w:numId="18" w16cid:durableId="1636908943">
    <w:abstractNumId w:val="28"/>
    <w:lvlOverride w:ilvl="0">
      <w:startOverride w:val="1"/>
    </w:lvlOverride>
  </w:num>
  <w:num w:numId="19" w16cid:durableId="688724942">
    <w:abstractNumId w:val="28"/>
    <w:lvlOverride w:ilvl="0">
      <w:startOverride w:val="1"/>
    </w:lvlOverride>
  </w:num>
  <w:num w:numId="20" w16cid:durableId="867915675">
    <w:abstractNumId w:val="28"/>
    <w:lvlOverride w:ilvl="0">
      <w:startOverride w:val="1"/>
    </w:lvlOverride>
  </w:num>
  <w:num w:numId="21" w16cid:durableId="937636212">
    <w:abstractNumId w:val="28"/>
    <w:lvlOverride w:ilvl="0">
      <w:startOverride w:val="1"/>
    </w:lvlOverride>
  </w:num>
  <w:num w:numId="22" w16cid:durableId="547566534">
    <w:abstractNumId w:val="28"/>
    <w:lvlOverride w:ilvl="0">
      <w:startOverride w:val="1"/>
    </w:lvlOverride>
  </w:num>
  <w:num w:numId="23" w16cid:durableId="832187151">
    <w:abstractNumId w:val="28"/>
    <w:lvlOverride w:ilvl="0">
      <w:startOverride w:val="1"/>
    </w:lvlOverride>
  </w:num>
  <w:num w:numId="24" w16cid:durableId="634990647">
    <w:abstractNumId w:val="28"/>
    <w:lvlOverride w:ilvl="0">
      <w:startOverride w:val="1"/>
    </w:lvlOverride>
  </w:num>
  <w:num w:numId="25" w16cid:durableId="1815220911">
    <w:abstractNumId w:val="28"/>
    <w:lvlOverride w:ilvl="0">
      <w:startOverride w:val="1"/>
    </w:lvlOverride>
  </w:num>
  <w:num w:numId="26" w16cid:durableId="1884633764">
    <w:abstractNumId w:val="28"/>
    <w:lvlOverride w:ilvl="0">
      <w:startOverride w:val="1"/>
    </w:lvlOverride>
  </w:num>
  <w:num w:numId="27" w16cid:durableId="1895383231">
    <w:abstractNumId w:val="9"/>
  </w:num>
  <w:num w:numId="28" w16cid:durableId="557979392">
    <w:abstractNumId w:val="7"/>
  </w:num>
  <w:num w:numId="29" w16cid:durableId="288628030">
    <w:abstractNumId w:val="6"/>
  </w:num>
  <w:num w:numId="30" w16cid:durableId="194121124">
    <w:abstractNumId w:val="5"/>
  </w:num>
  <w:num w:numId="31" w16cid:durableId="2037806569">
    <w:abstractNumId w:val="4"/>
  </w:num>
  <w:num w:numId="32" w16cid:durableId="1058356277">
    <w:abstractNumId w:val="8"/>
  </w:num>
  <w:num w:numId="33" w16cid:durableId="1975210618">
    <w:abstractNumId w:val="3"/>
  </w:num>
  <w:num w:numId="34" w16cid:durableId="1812287970">
    <w:abstractNumId w:val="18"/>
  </w:num>
  <w:num w:numId="35" w16cid:durableId="335230417">
    <w:abstractNumId w:val="32"/>
  </w:num>
  <w:num w:numId="36" w16cid:durableId="1234513501">
    <w:abstractNumId w:val="25"/>
  </w:num>
  <w:num w:numId="37" w16cid:durableId="1497116330">
    <w:abstractNumId w:val="30"/>
  </w:num>
  <w:num w:numId="38" w16cid:durableId="1982155614">
    <w:abstractNumId w:val="17"/>
  </w:num>
  <w:num w:numId="39" w16cid:durableId="366878897">
    <w:abstractNumId w:val="12"/>
  </w:num>
  <w:num w:numId="40" w16cid:durableId="1675957355">
    <w:abstractNumId w:val="15"/>
  </w:num>
  <w:num w:numId="41" w16cid:durableId="29652170">
    <w:abstractNumId w:val="26"/>
  </w:num>
  <w:num w:numId="42" w16cid:durableId="781612385">
    <w:abstractNumId w:val="35"/>
  </w:num>
  <w:num w:numId="43" w16cid:durableId="1497570191">
    <w:abstractNumId w:val="22"/>
  </w:num>
  <w:num w:numId="44" w16cid:durableId="1719933093">
    <w:abstractNumId w:val="11"/>
  </w:num>
  <w:num w:numId="45" w16cid:durableId="961761829">
    <w:abstractNumId w:val="23"/>
  </w:num>
  <w:num w:numId="46" w16cid:durableId="614870242">
    <w:abstractNumId w:val="16"/>
  </w:num>
  <w:num w:numId="47" w16cid:durableId="88240187">
    <w:abstractNumId w:val="20"/>
  </w:num>
  <w:num w:numId="48" w16cid:durableId="1389568931">
    <w:abstractNumId w:val="3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eille Trotta">
    <w15:presenceInfo w15:providerId="AD" w15:userId="S::Mireille.Rozier@etsi.org::8e98ae8f-e26f-43f0-9942-78ffa16d025a"/>
  </w15:person>
  <w15:person w15:author="Shahar Steiff">
    <w15:presenceInfo w15:providerId="None" w15:userId="Shahar Stei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tsiAbbreviationBlacklist" w:val="ETSI NOT NOTE"/>
  </w:docVars>
  <w:rsids>
    <w:rsidRoot w:val="00914A5A"/>
    <w:rsid w:val="0000156B"/>
    <w:rsid w:val="00022459"/>
    <w:rsid w:val="00032324"/>
    <w:rsid w:val="00045847"/>
    <w:rsid w:val="00046805"/>
    <w:rsid w:val="00057359"/>
    <w:rsid w:val="0006067D"/>
    <w:rsid w:val="00060DE0"/>
    <w:rsid w:val="000963B6"/>
    <w:rsid w:val="000975E7"/>
    <w:rsid w:val="000B749F"/>
    <w:rsid w:val="000C0313"/>
    <w:rsid w:val="000C3423"/>
    <w:rsid w:val="000F4D64"/>
    <w:rsid w:val="00101F55"/>
    <w:rsid w:val="00112FDB"/>
    <w:rsid w:val="00113137"/>
    <w:rsid w:val="00125312"/>
    <w:rsid w:val="00150CBB"/>
    <w:rsid w:val="00156140"/>
    <w:rsid w:val="0018164C"/>
    <w:rsid w:val="00182069"/>
    <w:rsid w:val="001B2885"/>
    <w:rsid w:val="001B504E"/>
    <w:rsid w:val="001D5497"/>
    <w:rsid w:val="001D748C"/>
    <w:rsid w:val="001E54B1"/>
    <w:rsid w:val="001E76BC"/>
    <w:rsid w:val="00205E3C"/>
    <w:rsid w:val="00207A27"/>
    <w:rsid w:val="00215989"/>
    <w:rsid w:val="0025445C"/>
    <w:rsid w:val="0028368D"/>
    <w:rsid w:val="002A63B0"/>
    <w:rsid w:val="002C570E"/>
    <w:rsid w:val="002C6310"/>
    <w:rsid w:val="002E3022"/>
    <w:rsid w:val="002E7796"/>
    <w:rsid w:val="003531C0"/>
    <w:rsid w:val="003707AA"/>
    <w:rsid w:val="00374555"/>
    <w:rsid w:val="00381329"/>
    <w:rsid w:val="00403A45"/>
    <w:rsid w:val="0042643C"/>
    <w:rsid w:val="00431AB0"/>
    <w:rsid w:val="004664CE"/>
    <w:rsid w:val="004916C9"/>
    <w:rsid w:val="00495F5C"/>
    <w:rsid w:val="004E4B7B"/>
    <w:rsid w:val="004E7078"/>
    <w:rsid w:val="004F4A9C"/>
    <w:rsid w:val="004F73D1"/>
    <w:rsid w:val="004F7D2F"/>
    <w:rsid w:val="0050302A"/>
    <w:rsid w:val="0050748B"/>
    <w:rsid w:val="0052305A"/>
    <w:rsid w:val="0053286B"/>
    <w:rsid w:val="00557861"/>
    <w:rsid w:val="005A1DD0"/>
    <w:rsid w:val="005A2C44"/>
    <w:rsid w:val="005A6715"/>
    <w:rsid w:val="005A6C6D"/>
    <w:rsid w:val="005C4A28"/>
    <w:rsid w:val="005D277A"/>
    <w:rsid w:val="00616C57"/>
    <w:rsid w:val="006329BB"/>
    <w:rsid w:val="00640B87"/>
    <w:rsid w:val="00654C79"/>
    <w:rsid w:val="00655378"/>
    <w:rsid w:val="00664722"/>
    <w:rsid w:val="0066666D"/>
    <w:rsid w:val="006767A3"/>
    <w:rsid w:val="006B0F37"/>
    <w:rsid w:val="006E6F23"/>
    <w:rsid w:val="006F41AD"/>
    <w:rsid w:val="0071133D"/>
    <w:rsid w:val="007143D7"/>
    <w:rsid w:val="00743E15"/>
    <w:rsid w:val="00744F12"/>
    <w:rsid w:val="00746A5A"/>
    <w:rsid w:val="007744BF"/>
    <w:rsid w:val="0078242A"/>
    <w:rsid w:val="00794BB8"/>
    <w:rsid w:val="007D56F8"/>
    <w:rsid w:val="00851406"/>
    <w:rsid w:val="0085751E"/>
    <w:rsid w:val="00863E9C"/>
    <w:rsid w:val="00866BB6"/>
    <w:rsid w:val="00871651"/>
    <w:rsid w:val="00885651"/>
    <w:rsid w:val="00886492"/>
    <w:rsid w:val="008B46A5"/>
    <w:rsid w:val="008C6428"/>
    <w:rsid w:val="008D0110"/>
    <w:rsid w:val="008F0774"/>
    <w:rsid w:val="00914A5A"/>
    <w:rsid w:val="00914E95"/>
    <w:rsid w:val="0092701A"/>
    <w:rsid w:val="00930E85"/>
    <w:rsid w:val="00933238"/>
    <w:rsid w:val="0097067F"/>
    <w:rsid w:val="009A55D1"/>
    <w:rsid w:val="009C467D"/>
    <w:rsid w:val="009D2F78"/>
    <w:rsid w:val="009D5EC1"/>
    <w:rsid w:val="009E5F37"/>
    <w:rsid w:val="009F47BE"/>
    <w:rsid w:val="00A130E4"/>
    <w:rsid w:val="00A3712B"/>
    <w:rsid w:val="00A41A36"/>
    <w:rsid w:val="00A42E54"/>
    <w:rsid w:val="00A56930"/>
    <w:rsid w:val="00A83F00"/>
    <w:rsid w:val="00AA5350"/>
    <w:rsid w:val="00AB50CA"/>
    <w:rsid w:val="00B06DAB"/>
    <w:rsid w:val="00B4021E"/>
    <w:rsid w:val="00B415FD"/>
    <w:rsid w:val="00B4493E"/>
    <w:rsid w:val="00B510B9"/>
    <w:rsid w:val="00B56A87"/>
    <w:rsid w:val="00B72A5D"/>
    <w:rsid w:val="00B7635D"/>
    <w:rsid w:val="00B76683"/>
    <w:rsid w:val="00BA1127"/>
    <w:rsid w:val="00BD593F"/>
    <w:rsid w:val="00BE6B61"/>
    <w:rsid w:val="00BF68E4"/>
    <w:rsid w:val="00C204CE"/>
    <w:rsid w:val="00CA1FAF"/>
    <w:rsid w:val="00CC2E9C"/>
    <w:rsid w:val="00CC4C39"/>
    <w:rsid w:val="00CF1D6F"/>
    <w:rsid w:val="00CF1EEE"/>
    <w:rsid w:val="00CF79AE"/>
    <w:rsid w:val="00D1543E"/>
    <w:rsid w:val="00D24B6E"/>
    <w:rsid w:val="00D4218E"/>
    <w:rsid w:val="00D56A3F"/>
    <w:rsid w:val="00D74FC3"/>
    <w:rsid w:val="00D77DFB"/>
    <w:rsid w:val="00DB455D"/>
    <w:rsid w:val="00DC3409"/>
    <w:rsid w:val="00DC37E5"/>
    <w:rsid w:val="00DC3C8F"/>
    <w:rsid w:val="00DF2659"/>
    <w:rsid w:val="00DF6D6D"/>
    <w:rsid w:val="00E14FFC"/>
    <w:rsid w:val="00E20CF7"/>
    <w:rsid w:val="00E30E7A"/>
    <w:rsid w:val="00E33619"/>
    <w:rsid w:val="00E71BC6"/>
    <w:rsid w:val="00E7242A"/>
    <w:rsid w:val="00E82CE2"/>
    <w:rsid w:val="00EA7B3F"/>
    <w:rsid w:val="00EF4A63"/>
    <w:rsid w:val="00F02D3A"/>
    <w:rsid w:val="00F075C0"/>
    <w:rsid w:val="00F105B8"/>
    <w:rsid w:val="00F538EE"/>
    <w:rsid w:val="00F60FB6"/>
    <w:rsid w:val="00F61A98"/>
    <w:rsid w:val="00F7717A"/>
    <w:rsid w:val="00F8613E"/>
    <w:rsid w:val="00F9083A"/>
    <w:rsid w:val="00F911F5"/>
    <w:rsid w:val="00FB0183"/>
    <w:rsid w:val="00FB3A29"/>
    <w:rsid w:val="00FE0801"/>
    <w:rsid w:val="00FE191D"/>
    <w:rsid w:val="00FF0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0E4"/>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A130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A130E4"/>
    <w:pPr>
      <w:pBdr>
        <w:top w:val="none" w:sz="0" w:space="0" w:color="auto"/>
      </w:pBdr>
      <w:spacing w:before="180"/>
      <w:outlineLvl w:val="1"/>
    </w:pPr>
    <w:rPr>
      <w:sz w:val="32"/>
    </w:rPr>
  </w:style>
  <w:style w:type="paragraph" w:styleId="Heading3">
    <w:name w:val="heading 3"/>
    <w:basedOn w:val="Heading2"/>
    <w:next w:val="Normal"/>
    <w:link w:val="Heading3Char"/>
    <w:qFormat/>
    <w:rsid w:val="00A130E4"/>
    <w:pPr>
      <w:spacing w:before="120"/>
      <w:outlineLvl w:val="2"/>
    </w:pPr>
    <w:rPr>
      <w:sz w:val="28"/>
    </w:rPr>
  </w:style>
  <w:style w:type="paragraph" w:styleId="Heading4">
    <w:name w:val="heading 4"/>
    <w:basedOn w:val="Heading3"/>
    <w:next w:val="Normal"/>
    <w:link w:val="Heading4Char"/>
    <w:qFormat/>
    <w:rsid w:val="00A130E4"/>
    <w:pPr>
      <w:ind w:left="1418" w:hanging="1418"/>
      <w:outlineLvl w:val="3"/>
    </w:pPr>
    <w:rPr>
      <w:sz w:val="24"/>
    </w:rPr>
  </w:style>
  <w:style w:type="paragraph" w:styleId="Heading5">
    <w:name w:val="heading 5"/>
    <w:basedOn w:val="Heading4"/>
    <w:next w:val="Normal"/>
    <w:qFormat/>
    <w:rsid w:val="00A130E4"/>
    <w:pPr>
      <w:ind w:left="1701" w:hanging="1701"/>
      <w:outlineLvl w:val="4"/>
    </w:pPr>
    <w:rPr>
      <w:sz w:val="22"/>
    </w:rPr>
  </w:style>
  <w:style w:type="paragraph" w:styleId="Heading6">
    <w:name w:val="heading 6"/>
    <w:basedOn w:val="H6"/>
    <w:next w:val="Normal"/>
    <w:qFormat/>
    <w:rsid w:val="00A130E4"/>
    <w:pPr>
      <w:outlineLvl w:val="5"/>
    </w:pPr>
  </w:style>
  <w:style w:type="paragraph" w:styleId="Heading7">
    <w:name w:val="heading 7"/>
    <w:basedOn w:val="H6"/>
    <w:next w:val="Normal"/>
    <w:qFormat/>
    <w:rsid w:val="00A130E4"/>
    <w:pPr>
      <w:outlineLvl w:val="6"/>
    </w:pPr>
  </w:style>
  <w:style w:type="paragraph" w:styleId="Heading8">
    <w:name w:val="heading 8"/>
    <w:basedOn w:val="Heading1"/>
    <w:next w:val="Normal"/>
    <w:link w:val="Heading8Char"/>
    <w:qFormat/>
    <w:rsid w:val="00A130E4"/>
    <w:pPr>
      <w:ind w:left="0" w:firstLine="0"/>
      <w:outlineLvl w:val="7"/>
    </w:pPr>
  </w:style>
  <w:style w:type="paragraph" w:styleId="Heading9">
    <w:name w:val="heading 9"/>
    <w:basedOn w:val="Heading8"/>
    <w:next w:val="Normal"/>
    <w:qFormat/>
    <w:rsid w:val="00A130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130E4"/>
    <w:pPr>
      <w:ind w:left="1985" w:hanging="1985"/>
      <w:outlineLvl w:val="9"/>
    </w:pPr>
    <w:rPr>
      <w:sz w:val="20"/>
    </w:rPr>
  </w:style>
  <w:style w:type="paragraph" w:styleId="TOC9">
    <w:name w:val="toc 9"/>
    <w:basedOn w:val="TOC8"/>
    <w:rsid w:val="00A130E4"/>
    <w:pPr>
      <w:ind w:left="1418" w:hanging="1418"/>
    </w:pPr>
  </w:style>
  <w:style w:type="paragraph" w:styleId="TOC8">
    <w:name w:val="toc 8"/>
    <w:basedOn w:val="TOC1"/>
    <w:uiPriority w:val="39"/>
    <w:rsid w:val="00A130E4"/>
    <w:pPr>
      <w:spacing w:before="180"/>
      <w:ind w:left="2693" w:hanging="2693"/>
    </w:pPr>
    <w:rPr>
      <w:b/>
    </w:rPr>
  </w:style>
  <w:style w:type="paragraph" w:styleId="TOC1">
    <w:name w:val="toc 1"/>
    <w:uiPriority w:val="39"/>
    <w:rsid w:val="00A130E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A130E4"/>
    <w:pPr>
      <w:keepLines/>
      <w:tabs>
        <w:tab w:val="center" w:pos="4536"/>
        <w:tab w:val="right" w:pos="9072"/>
      </w:tabs>
    </w:pPr>
    <w:rPr>
      <w:noProof/>
    </w:rPr>
  </w:style>
  <w:style w:type="character" w:customStyle="1" w:styleId="ZGSM">
    <w:name w:val="ZGSM"/>
    <w:rsid w:val="00A130E4"/>
  </w:style>
  <w:style w:type="paragraph" w:styleId="Header">
    <w:name w:val="header"/>
    <w:link w:val="HeaderChar"/>
    <w:rsid w:val="00A130E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130E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A130E4"/>
    <w:pPr>
      <w:ind w:left="1701" w:hanging="1701"/>
    </w:pPr>
  </w:style>
  <w:style w:type="paragraph" w:styleId="TOC4">
    <w:name w:val="toc 4"/>
    <w:basedOn w:val="TOC3"/>
    <w:uiPriority w:val="39"/>
    <w:rsid w:val="00A130E4"/>
    <w:pPr>
      <w:ind w:left="1418" w:hanging="1418"/>
    </w:pPr>
  </w:style>
  <w:style w:type="paragraph" w:styleId="TOC3">
    <w:name w:val="toc 3"/>
    <w:basedOn w:val="TOC2"/>
    <w:uiPriority w:val="39"/>
    <w:rsid w:val="00A130E4"/>
    <w:pPr>
      <w:ind w:left="1134" w:hanging="1134"/>
    </w:pPr>
  </w:style>
  <w:style w:type="paragraph" w:styleId="TOC2">
    <w:name w:val="toc 2"/>
    <w:basedOn w:val="TOC1"/>
    <w:uiPriority w:val="39"/>
    <w:rsid w:val="00A130E4"/>
    <w:pPr>
      <w:spacing w:before="0"/>
      <w:ind w:left="851" w:hanging="851"/>
    </w:pPr>
    <w:rPr>
      <w:sz w:val="20"/>
    </w:rPr>
  </w:style>
  <w:style w:type="paragraph" w:styleId="Index1">
    <w:name w:val="index 1"/>
    <w:basedOn w:val="Normal"/>
    <w:semiHidden/>
    <w:rsid w:val="00A130E4"/>
    <w:pPr>
      <w:keepLines/>
    </w:pPr>
  </w:style>
  <w:style w:type="paragraph" w:styleId="Index2">
    <w:name w:val="index 2"/>
    <w:basedOn w:val="Index1"/>
    <w:semiHidden/>
    <w:rsid w:val="00A130E4"/>
    <w:pPr>
      <w:ind w:left="284"/>
    </w:pPr>
  </w:style>
  <w:style w:type="paragraph" w:customStyle="1" w:styleId="TT">
    <w:name w:val="TT"/>
    <w:basedOn w:val="Heading1"/>
    <w:next w:val="Normal"/>
    <w:rsid w:val="00A130E4"/>
    <w:pPr>
      <w:outlineLvl w:val="9"/>
    </w:pPr>
  </w:style>
  <w:style w:type="paragraph" w:styleId="Footer">
    <w:name w:val="footer"/>
    <w:basedOn w:val="Header"/>
    <w:link w:val="FooterChar"/>
    <w:rsid w:val="00A130E4"/>
    <w:pPr>
      <w:jc w:val="center"/>
    </w:pPr>
    <w:rPr>
      <w:i/>
    </w:rPr>
  </w:style>
  <w:style w:type="character" w:styleId="FootnoteReference">
    <w:name w:val="footnote reference"/>
    <w:basedOn w:val="DefaultParagraphFont"/>
    <w:semiHidden/>
    <w:rsid w:val="00A130E4"/>
    <w:rPr>
      <w:b/>
      <w:position w:val="6"/>
      <w:sz w:val="16"/>
    </w:rPr>
  </w:style>
  <w:style w:type="paragraph" w:styleId="FootnoteText">
    <w:name w:val="footnote text"/>
    <w:basedOn w:val="Normal"/>
    <w:semiHidden/>
    <w:rsid w:val="00A130E4"/>
    <w:pPr>
      <w:keepLines/>
      <w:ind w:left="454" w:hanging="454"/>
    </w:pPr>
    <w:rPr>
      <w:sz w:val="16"/>
    </w:rPr>
  </w:style>
  <w:style w:type="paragraph" w:customStyle="1" w:styleId="NF">
    <w:name w:val="NF"/>
    <w:basedOn w:val="NO"/>
    <w:rsid w:val="00A130E4"/>
    <w:pPr>
      <w:keepNext/>
      <w:spacing w:after="0"/>
    </w:pPr>
    <w:rPr>
      <w:rFonts w:ascii="Arial" w:hAnsi="Arial"/>
      <w:sz w:val="18"/>
    </w:rPr>
  </w:style>
  <w:style w:type="paragraph" w:customStyle="1" w:styleId="NO">
    <w:name w:val="NO"/>
    <w:basedOn w:val="Normal"/>
    <w:link w:val="NOChar"/>
    <w:rsid w:val="00A130E4"/>
    <w:pPr>
      <w:keepLines/>
      <w:ind w:left="1135" w:hanging="851"/>
    </w:pPr>
  </w:style>
  <w:style w:type="paragraph" w:customStyle="1" w:styleId="PL">
    <w:name w:val="PL"/>
    <w:rsid w:val="00A130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130E4"/>
    <w:pPr>
      <w:jc w:val="right"/>
    </w:pPr>
  </w:style>
  <w:style w:type="paragraph" w:customStyle="1" w:styleId="TAL">
    <w:name w:val="TAL"/>
    <w:basedOn w:val="Normal"/>
    <w:rsid w:val="00A130E4"/>
    <w:pPr>
      <w:keepNext/>
      <w:keepLines/>
      <w:spacing w:after="0"/>
    </w:pPr>
    <w:rPr>
      <w:rFonts w:ascii="Arial" w:hAnsi="Arial"/>
      <w:sz w:val="18"/>
    </w:rPr>
  </w:style>
  <w:style w:type="paragraph" w:styleId="ListNumber2">
    <w:name w:val="List Number 2"/>
    <w:basedOn w:val="ListNumber"/>
    <w:rsid w:val="00A130E4"/>
    <w:pPr>
      <w:ind w:left="851"/>
    </w:pPr>
  </w:style>
  <w:style w:type="paragraph" w:styleId="ListNumber">
    <w:name w:val="List Number"/>
    <w:basedOn w:val="List"/>
    <w:rsid w:val="00A130E4"/>
  </w:style>
  <w:style w:type="paragraph" w:styleId="List">
    <w:name w:val="List"/>
    <w:basedOn w:val="Normal"/>
    <w:rsid w:val="00A130E4"/>
    <w:pPr>
      <w:ind w:left="568" w:hanging="284"/>
    </w:pPr>
  </w:style>
  <w:style w:type="paragraph" w:customStyle="1" w:styleId="TAH">
    <w:name w:val="TAH"/>
    <w:basedOn w:val="TAC"/>
    <w:rsid w:val="00A130E4"/>
    <w:rPr>
      <w:b/>
    </w:rPr>
  </w:style>
  <w:style w:type="paragraph" w:customStyle="1" w:styleId="TAC">
    <w:name w:val="TAC"/>
    <w:basedOn w:val="TAL"/>
    <w:rsid w:val="00A130E4"/>
    <w:pPr>
      <w:jc w:val="center"/>
    </w:pPr>
  </w:style>
  <w:style w:type="paragraph" w:customStyle="1" w:styleId="LD">
    <w:name w:val="LD"/>
    <w:rsid w:val="00A130E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A130E4"/>
    <w:pPr>
      <w:keepLines/>
      <w:ind w:left="1702" w:hanging="1418"/>
    </w:pPr>
  </w:style>
  <w:style w:type="paragraph" w:customStyle="1" w:styleId="FP">
    <w:name w:val="FP"/>
    <w:basedOn w:val="Normal"/>
    <w:rsid w:val="00A130E4"/>
    <w:pPr>
      <w:spacing w:after="0"/>
    </w:pPr>
  </w:style>
  <w:style w:type="paragraph" w:customStyle="1" w:styleId="NW">
    <w:name w:val="NW"/>
    <w:basedOn w:val="NO"/>
    <w:rsid w:val="00A130E4"/>
    <w:pPr>
      <w:spacing w:after="0"/>
    </w:pPr>
  </w:style>
  <w:style w:type="paragraph" w:customStyle="1" w:styleId="EW">
    <w:name w:val="EW"/>
    <w:basedOn w:val="EX"/>
    <w:rsid w:val="00A130E4"/>
    <w:pPr>
      <w:spacing w:after="0"/>
    </w:pPr>
  </w:style>
  <w:style w:type="paragraph" w:customStyle="1" w:styleId="B10">
    <w:name w:val="B1"/>
    <w:basedOn w:val="List"/>
    <w:rsid w:val="00A130E4"/>
    <w:pPr>
      <w:ind w:left="738" w:hanging="454"/>
    </w:pPr>
  </w:style>
  <w:style w:type="paragraph" w:styleId="TOC6">
    <w:name w:val="toc 6"/>
    <w:basedOn w:val="TOC5"/>
    <w:next w:val="Normal"/>
    <w:semiHidden/>
    <w:rsid w:val="00A130E4"/>
    <w:pPr>
      <w:ind w:left="1985" w:hanging="1985"/>
    </w:pPr>
  </w:style>
  <w:style w:type="paragraph" w:styleId="TOC7">
    <w:name w:val="toc 7"/>
    <w:basedOn w:val="TOC6"/>
    <w:next w:val="Normal"/>
    <w:semiHidden/>
    <w:rsid w:val="00A130E4"/>
    <w:pPr>
      <w:ind w:left="2268" w:hanging="2268"/>
    </w:pPr>
  </w:style>
  <w:style w:type="paragraph" w:styleId="ListBullet2">
    <w:name w:val="List Bullet 2"/>
    <w:basedOn w:val="ListBullet"/>
    <w:rsid w:val="00A130E4"/>
    <w:pPr>
      <w:ind w:left="851"/>
    </w:pPr>
  </w:style>
  <w:style w:type="paragraph" w:styleId="ListBullet">
    <w:name w:val="List Bullet"/>
    <w:basedOn w:val="List"/>
    <w:rsid w:val="00A130E4"/>
  </w:style>
  <w:style w:type="paragraph" w:customStyle="1" w:styleId="EditorsNote">
    <w:name w:val="Editor's Note"/>
    <w:basedOn w:val="NO"/>
    <w:rsid w:val="00A130E4"/>
    <w:rPr>
      <w:color w:val="FF0000"/>
    </w:rPr>
  </w:style>
  <w:style w:type="paragraph" w:customStyle="1" w:styleId="TH">
    <w:name w:val="TH"/>
    <w:basedOn w:val="FL"/>
    <w:next w:val="FL"/>
    <w:rsid w:val="00A130E4"/>
  </w:style>
  <w:style w:type="paragraph" w:customStyle="1" w:styleId="ZA">
    <w:name w:val="ZA"/>
    <w:rsid w:val="00A130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130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130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A130E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130E4"/>
    <w:pPr>
      <w:ind w:left="851" w:hanging="851"/>
    </w:pPr>
  </w:style>
  <w:style w:type="paragraph" w:customStyle="1" w:styleId="ZH">
    <w:name w:val="ZH"/>
    <w:rsid w:val="00A130E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A130E4"/>
    <w:pPr>
      <w:keepNext w:val="0"/>
      <w:spacing w:before="0" w:after="240"/>
    </w:pPr>
  </w:style>
  <w:style w:type="paragraph" w:customStyle="1" w:styleId="ZG">
    <w:name w:val="ZG"/>
    <w:rsid w:val="00A130E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A130E4"/>
    <w:pPr>
      <w:ind w:left="1135"/>
    </w:pPr>
  </w:style>
  <w:style w:type="paragraph" w:styleId="List2">
    <w:name w:val="List 2"/>
    <w:basedOn w:val="List"/>
    <w:rsid w:val="00A130E4"/>
    <w:pPr>
      <w:ind w:left="851"/>
    </w:pPr>
  </w:style>
  <w:style w:type="paragraph" w:styleId="List3">
    <w:name w:val="List 3"/>
    <w:basedOn w:val="List2"/>
    <w:rsid w:val="00A130E4"/>
    <w:pPr>
      <w:ind w:left="1135"/>
    </w:pPr>
  </w:style>
  <w:style w:type="paragraph" w:styleId="List4">
    <w:name w:val="List 4"/>
    <w:basedOn w:val="List3"/>
    <w:rsid w:val="00A130E4"/>
    <w:pPr>
      <w:ind w:left="1418"/>
    </w:pPr>
  </w:style>
  <w:style w:type="paragraph" w:styleId="List5">
    <w:name w:val="List 5"/>
    <w:basedOn w:val="List4"/>
    <w:rsid w:val="00A130E4"/>
    <w:pPr>
      <w:ind w:left="1702"/>
    </w:pPr>
  </w:style>
  <w:style w:type="paragraph" w:styleId="ListBullet4">
    <w:name w:val="List Bullet 4"/>
    <w:basedOn w:val="ListBullet3"/>
    <w:rsid w:val="00A130E4"/>
    <w:pPr>
      <w:ind w:left="1418"/>
    </w:pPr>
  </w:style>
  <w:style w:type="paragraph" w:styleId="ListBullet5">
    <w:name w:val="List Bullet 5"/>
    <w:basedOn w:val="ListBullet4"/>
    <w:rsid w:val="00A130E4"/>
    <w:pPr>
      <w:ind w:left="1702"/>
    </w:pPr>
  </w:style>
  <w:style w:type="paragraph" w:customStyle="1" w:styleId="B20">
    <w:name w:val="B2"/>
    <w:basedOn w:val="List2"/>
    <w:rsid w:val="00A130E4"/>
    <w:pPr>
      <w:ind w:left="1191" w:hanging="454"/>
    </w:pPr>
  </w:style>
  <w:style w:type="paragraph" w:customStyle="1" w:styleId="B30">
    <w:name w:val="B3"/>
    <w:basedOn w:val="List3"/>
    <w:rsid w:val="00A130E4"/>
    <w:pPr>
      <w:ind w:left="1645" w:hanging="454"/>
    </w:pPr>
  </w:style>
  <w:style w:type="paragraph" w:customStyle="1" w:styleId="B4">
    <w:name w:val="B4"/>
    <w:basedOn w:val="List4"/>
    <w:rsid w:val="00A130E4"/>
    <w:pPr>
      <w:ind w:left="2098" w:hanging="454"/>
    </w:pPr>
  </w:style>
  <w:style w:type="paragraph" w:customStyle="1" w:styleId="B5">
    <w:name w:val="B5"/>
    <w:basedOn w:val="List5"/>
    <w:rsid w:val="00A130E4"/>
    <w:pPr>
      <w:ind w:left="2552" w:hanging="454"/>
    </w:pPr>
  </w:style>
  <w:style w:type="paragraph" w:customStyle="1" w:styleId="ZTD">
    <w:name w:val="ZTD"/>
    <w:basedOn w:val="ZB"/>
    <w:rsid w:val="00A130E4"/>
    <w:pPr>
      <w:framePr w:hRule="auto" w:wrap="notBeside" w:y="852"/>
    </w:pPr>
    <w:rPr>
      <w:i w:val="0"/>
      <w:sz w:val="40"/>
    </w:rPr>
  </w:style>
  <w:style w:type="paragraph" w:customStyle="1" w:styleId="ZV">
    <w:name w:val="ZV"/>
    <w:basedOn w:val="ZU"/>
    <w:rsid w:val="00A130E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UnresolvedMention">
    <w:name w:val="Unresolved Mention"/>
    <w:basedOn w:val="DefaultParagraphFont"/>
    <w:uiPriority w:val="99"/>
    <w:semiHidden/>
    <w:unhideWhenUsed/>
    <w:rsid w:val="00A130E4"/>
    <w:rPr>
      <w:color w:val="605E5C"/>
      <w:shd w:val="clear" w:color="auto" w:fill="E1DFDD"/>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A130E4"/>
    <w:pPr>
      <w:numPr>
        <w:numId w:val="3"/>
      </w:numPr>
      <w:tabs>
        <w:tab w:val="left" w:pos="1134"/>
      </w:tabs>
    </w:pPr>
  </w:style>
  <w:style w:type="paragraph" w:customStyle="1" w:styleId="B1">
    <w:name w:val="B1+"/>
    <w:basedOn w:val="B10"/>
    <w:rsid w:val="00A130E4"/>
    <w:pPr>
      <w:numPr>
        <w:numId w:val="1"/>
      </w:numPr>
    </w:pPr>
  </w:style>
  <w:style w:type="paragraph" w:customStyle="1" w:styleId="B2">
    <w:name w:val="B2+"/>
    <w:basedOn w:val="B20"/>
    <w:rsid w:val="00A130E4"/>
    <w:pPr>
      <w:numPr>
        <w:numId w:val="2"/>
      </w:numPr>
    </w:pPr>
  </w:style>
  <w:style w:type="paragraph" w:customStyle="1" w:styleId="BL">
    <w:name w:val="BL"/>
    <w:basedOn w:val="Normal"/>
    <w:rsid w:val="00A130E4"/>
    <w:pPr>
      <w:numPr>
        <w:numId w:val="5"/>
      </w:numPr>
    </w:pPr>
  </w:style>
  <w:style w:type="paragraph" w:customStyle="1" w:styleId="BN">
    <w:name w:val="BN"/>
    <w:basedOn w:val="Normal"/>
    <w:rsid w:val="00A130E4"/>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A130E4"/>
    <w:pPr>
      <w:keepNext/>
      <w:keepLines/>
      <w:spacing w:after="0"/>
      <w:jc w:val="both"/>
    </w:pPr>
    <w:rPr>
      <w:rFonts w:ascii="Arial" w:hAnsi="Arial"/>
      <w:sz w:val="18"/>
    </w:rPr>
  </w:style>
  <w:style w:type="paragraph" w:customStyle="1" w:styleId="FL">
    <w:name w:val="FL"/>
    <w:basedOn w:val="Normal"/>
    <w:rsid w:val="00A130E4"/>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uiPriority w:val="9"/>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rsid w:val="00A130E4"/>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A130E4"/>
    <w:pPr>
      <w:keepNext/>
      <w:keepLines/>
      <w:numPr>
        <w:numId w:val="10"/>
      </w:numPr>
      <w:tabs>
        <w:tab w:val="left" w:pos="1109"/>
      </w:tabs>
      <w:spacing w:after="0"/>
      <w:ind w:left="1100" w:hanging="380"/>
    </w:pPr>
    <w:rPr>
      <w:rFonts w:ascii="Arial" w:hAnsi="Arial"/>
      <w:sz w:val="18"/>
    </w:rPr>
  </w:style>
  <w:style w:type="character" w:customStyle="1" w:styleId="Heading3Char">
    <w:name w:val="Heading 3 Char"/>
    <w:basedOn w:val="DefaultParagraphFont"/>
    <w:link w:val="Heading3"/>
    <w:rsid w:val="00CF79AE"/>
    <w:rPr>
      <w:rFonts w:ascii="Arial" w:hAnsi="Arial"/>
      <w:sz w:val="28"/>
      <w:lang w:eastAsia="en-US"/>
    </w:rPr>
  </w:style>
  <w:style w:type="character" w:customStyle="1" w:styleId="Heading4Char">
    <w:name w:val="Heading 4 Char"/>
    <w:basedOn w:val="DefaultParagraphFont"/>
    <w:link w:val="Heading4"/>
    <w:rsid w:val="00CF79AE"/>
    <w:rPr>
      <w:rFonts w:ascii="Arial" w:hAnsi="Arial"/>
      <w:sz w:val="24"/>
      <w:lang w:eastAsia="en-US"/>
    </w:rPr>
  </w:style>
  <w:style w:type="character" w:customStyle="1" w:styleId="CaptionChar">
    <w:name w:val="Caption Char"/>
    <w:link w:val="Caption"/>
    <w:locked/>
    <w:rsid w:val="00CF79AE"/>
    <w:rPr>
      <w:b/>
      <w:bCs/>
      <w:lang w:eastAsia="en-US"/>
    </w:rPr>
  </w:style>
  <w:style w:type="paragraph" w:customStyle="1" w:styleId="ConditionalOptionalRequirement">
    <w:name w:val="Conditional Optional Requirement"/>
    <w:basedOn w:val="Normal"/>
    <w:next w:val="Normal"/>
    <w:qFormat/>
    <w:rsid w:val="00654C79"/>
    <w:pPr>
      <w:numPr>
        <w:ilvl w:val="1"/>
        <w:numId w:val="14"/>
      </w:numPr>
      <w:tabs>
        <w:tab w:val="left" w:pos="2552"/>
      </w:tabs>
      <w:overflowPunct/>
      <w:autoSpaceDE/>
      <w:autoSpaceDN/>
      <w:adjustRightInd/>
      <w:spacing w:before="240" w:after="0"/>
      <w:ind w:left="2552" w:hanging="1650"/>
      <w:jc w:val="both"/>
      <w:textAlignment w:val="auto"/>
    </w:pPr>
    <w:rPr>
      <w:szCs w:val="24"/>
      <w:lang w:bidi="he-IL"/>
    </w:rPr>
  </w:style>
  <w:style w:type="paragraph" w:styleId="ListParagraph">
    <w:name w:val="List Paragraph"/>
    <w:basedOn w:val="Normal"/>
    <w:uiPriority w:val="34"/>
    <w:qFormat/>
    <w:rsid w:val="00CF79AE"/>
    <w:pPr>
      <w:overflowPunct/>
      <w:autoSpaceDE/>
      <w:autoSpaceDN/>
      <w:adjustRightInd/>
      <w:spacing w:before="240" w:after="0"/>
      <w:contextualSpacing/>
      <w:textAlignment w:val="auto"/>
    </w:pPr>
    <w:rPr>
      <w:szCs w:val="24"/>
      <w:lang w:bidi="he-IL"/>
    </w:rPr>
  </w:style>
  <w:style w:type="table" w:styleId="TableGrid">
    <w:name w:val="Table Grid"/>
    <w:basedOn w:val="TableNormal"/>
    <w:rsid w:val="00FE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B4021E"/>
    <w:rPr>
      <w:lang w:eastAsia="en-US"/>
    </w:rPr>
  </w:style>
  <w:style w:type="character" w:customStyle="1" w:styleId="apple-converted-space">
    <w:name w:val="apple-converted-space"/>
    <w:basedOn w:val="DefaultParagraphFont"/>
    <w:rsid w:val="0005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ebapp.etsi.org/Teddi/"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www.etsi.org/standards/coordinated-vulnerability-disclosur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cbox.etsi.org/Referenc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5" Type="http://schemas.openxmlformats.org/officeDocument/2006/relationships/hyperlink" Target="mailto:edithelp@etsi.org" TargetMode="External"/><Relationship Id="rId2" Type="http://schemas.openxmlformats.org/officeDocument/2006/relationships/numbering" Target="numbering.xml"/><Relationship Id="rId16" Type="http://schemas.openxmlformats.org/officeDocument/2006/relationships/hyperlink" Target="https://portal.etsi.org/TB/ETSIDeliverableStatus.aspx" TargetMode="External"/><Relationship Id="rId20" Type="http://schemas.openxmlformats.org/officeDocument/2006/relationships/hyperlink" Target="https://portal.etsi.org/Services/editHelp!/Howtostart/ETSIDraftingRules.asp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tsi.org/deliver" TargetMode="External"/><Relationship Id="rId23" Type="http://schemas.openxmlformats.org/officeDocument/2006/relationships/image" Target="media/image3.png"/><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ipr.etsi.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etsi.org/standards-search"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051B1-A515-7046-842A-35C213CB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TotalTime>
  <Pages>23</Pages>
  <Words>7732</Words>
  <Characters>44075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ETSI GS PDL 026 V0.0.6</vt:lpstr>
    </vt:vector>
  </TitlesOfParts>
  <Company>ETSI Secretariat</Company>
  <LinksUpToDate>false</LinksUpToDate>
  <CharactersWithSpaces>51704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PDL 026 V0.0.6</dc:title>
  <dc:subject/>
  <dc:creator>MTR</dc:creator>
  <cp:keywords>Distributed Ledger, ICT</cp:keywords>
  <dc:description/>
  <cp:lastModifiedBy>Shahar Steiff</cp:lastModifiedBy>
  <cp:revision>2</cp:revision>
  <cp:lastPrinted>2016-05-17T08:56:00Z</cp:lastPrinted>
  <dcterms:created xsi:type="dcterms:W3CDTF">2024-03-11T15:14:00Z</dcterms:created>
  <dcterms:modified xsi:type="dcterms:W3CDTF">2024-03-11T15:14:00Z</dcterms:modified>
</cp:coreProperties>
</file>